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CC7F0">
      <w:pPr>
        <w:pStyle w:val="13"/>
        <w:spacing w:before="0" w:beforeAutospacing="0" w:after="0" w:afterAutospacing="0" w:line="340" w:lineRule="exact"/>
        <w:jc w:val="both"/>
        <w:rPr>
          <w:rFonts w:ascii="黑体" w:hAnsi="黑体" w:eastAsia="黑体" w:cs="黑体"/>
          <w:snapToGrid w:val="0"/>
          <w:color w:val="auto"/>
          <w:spacing w:val="0"/>
          <w:kern w:val="0"/>
          <w:sz w:val="32"/>
          <w:szCs w:val="32"/>
        </w:rPr>
      </w:pPr>
      <w:bookmarkStart w:id="0" w:name="_GoBack"/>
      <w:bookmarkEnd w:id="0"/>
      <w:r>
        <w:rPr>
          <w:rFonts w:hint="eastAsia" w:ascii="黑体" w:hAnsi="黑体" w:eastAsia="黑体" w:cs="黑体"/>
          <w:snapToGrid w:val="0"/>
          <w:color w:val="auto"/>
          <w:spacing w:val="0"/>
          <w:kern w:val="0"/>
          <w:sz w:val="32"/>
          <w:szCs w:val="32"/>
        </w:rPr>
        <w:t>附</w:t>
      </w:r>
      <w:r>
        <w:rPr>
          <w:rFonts w:hint="eastAsia" w:ascii="黑体" w:hAnsi="黑体" w:eastAsia="黑体" w:cs="黑体"/>
          <w:snapToGrid w:val="0"/>
          <w:color w:val="auto"/>
          <w:spacing w:val="0"/>
          <w:kern w:val="0"/>
          <w:sz w:val="32"/>
          <w:szCs w:val="32"/>
          <w:lang w:eastAsia="zh-CN"/>
        </w:rPr>
        <w:t>表</w:t>
      </w:r>
      <w:r>
        <w:rPr>
          <w:rFonts w:hint="eastAsia" w:ascii="黑体" w:hAnsi="黑体" w:eastAsia="黑体" w:cs="黑体"/>
          <w:snapToGrid w:val="0"/>
          <w:color w:val="auto"/>
          <w:spacing w:val="0"/>
          <w:kern w:val="0"/>
          <w:sz w:val="32"/>
          <w:szCs w:val="32"/>
        </w:rPr>
        <w:t>2</w:t>
      </w:r>
    </w:p>
    <w:p w14:paraId="758CCD45">
      <w:pPr>
        <w:snapToGrid w:val="0"/>
        <w:spacing w:line="440" w:lineRule="exact"/>
        <w:rPr>
          <w:rFonts w:ascii="黑体" w:hAnsi="黑体" w:eastAsia="黑体" w:cs="黑体"/>
          <w:snapToGrid w:val="0"/>
          <w:color w:val="auto"/>
          <w:spacing w:val="0"/>
          <w:kern w:val="0"/>
          <w:sz w:val="32"/>
          <w:szCs w:val="32"/>
        </w:rPr>
      </w:pPr>
    </w:p>
    <w:p w14:paraId="78B7547A">
      <w:pPr>
        <w:snapToGrid w:val="0"/>
        <w:spacing w:line="570" w:lineRule="exact"/>
        <w:jc w:val="center"/>
        <w:rPr>
          <w:rFonts w:hint="eastAsia" w:ascii="方正小标宋简体" w:hAnsi="方正小标宋简体" w:eastAsia="方正小标宋简体" w:cs="方正小标宋简体"/>
          <w:snapToGrid w:val="0"/>
          <w:color w:val="auto"/>
          <w:spacing w:val="0"/>
          <w:kern w:val="0"/>
          <w:sz w:val="44"/>
          <w:szCs w:val="44"/>
        </w:rPr>
      </w:pPr>
      <w:r>
        <w:rPr>
          <w:rFonts w:hint="default" w:ascii="方正小标宋简体" w:hAnsi="方正小标宋简体" w:eastAsia="方正小标宋简体" w:cs="方正小标宋简体"/>
          <w:snapToGrid w:val="0"/>
          <w:color w:val="auto"/>
          <w:spacing w:val="0"/>
          <w:kern w:val="0"/>
          <w:sz w:val="44"/>
          <w:szCs w:val="44"/>
          <w:lang w:val="en"/>
        </w:rPr>
        <w:t>地震安全性评价单位</w:t>
      </w:r>
      <w:r>
        <w:rPr>
          <w:rFonts w:hint="eastAsia" w:ascii="方正小标宋简体" w:hAnsi="方正小标宋简体" w:eastAsia="方正小标宋简体" w:cs="方正小标宋简体"/>
          <w:snapToGrid w:val="0"/>
          <w:color w:val="auto"/>
          <w:spacing w:val="0"/>
          <w:kern w:val="0"/>
          <w:sz w:val="44"/>
          <w:szCs w:val="44"/>
        </w:rPr>
        <w:t>信用评价指标</w:t>
      </w:r>
    </w:p>
    <w:p w14:paraId="6C96B9FF">
      <w:pPr>
        <w:pStyle w:val="22"/>
        <w:spacing w:line="240" w:lineRule="exact"/>
        <w:rPr>
          <w:color w:val="auto"/>
          <w:spacing w:val="0"/>
        </w:rPr>
      </w:pPr>
    </w:p>
    <w:tbl>
      <w:tblPr>
        <w:tblStyle w:val="16"/>
        <w:tblW w:w="54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84"/>
        <w:gridCol w:w="616"/>
        <w:gridCol w:w="917"/>
        <w:gridCol w:w="4162"/>
        <w:gridCol w:w="1130"/>
        <w:gridCol w:w="2278"/>
      </w:tblGrid>
      <w:tr w14:paraId="6CE79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301" w:type="pct"/>
            <w:noWrap w:val="0"/>
            <w:tcMar>
              <w:top w:w="12" w:type="dxa"/>
              <w:left w:w="12" w:type="dxa"/>
              <w:right w:w="12" w:type="dxa"/>
            </w:tcMar>
            <w:vAlign w:val="center"/>
          </w:tcPr>
          <w:p w14:paraId="1571C5C0">
            <w:pPr>
              <w:widowControl/>
              <w:spacing w:line="320" w:lineRule="exact"/>
              <w:jc w:val="center"/>
              <w:textAlignment w:val="center"/>
              <w:rPr>
                <w:rFonts w:hint="eastAsia" w:ascii="仿宋_GB2312" w:hAnsi="仿宋_GB2312" w:eastAsia="仿宋_GB2312" w:cs="仿宋_GB2312"/>
                <w:b/>
                <w:snapToGrid w:val="0"/>
                <w:color w:val="auto"/>
                <w:spacing w:val="0"/>
                <w:kern w:val="0"/>
                <w:sz w:val="21"/>
                <w:szCs w:val="21"/>
              </w:rPr>
            </w:pPr>
            <w:r>
              <w:rPr>
                <w:rFonts w:hint="eastAsia" w:ascii="仿宋_GB2312" w:hAnsi="仿宋_GB2312" w:eastAsia="仿宋_GB2312" w:cs="仿宋_GB2312"/>
                <w:b/>
                <w:snapToGrid w:val="0"/>
                <w:color w:val="auto"/>
                <w:spacing w:val="0"/>
                <w:kern w:val="0"/>
                <w:sz w:val="21"/>
                <w:szCs w:val="21"/>
                <w:highlight w:val="none"/>
              </w:rPr>
              <w:t>序号</w:t>
            </w:r>
          </w:p>
        </w:tc>
        <w:tc>
          <w:tcPr>
            <w:tcW w:w="318" w:type="pct"/>
            <w:noWrap w:val="0"/>
            <w:tcMar>
              <w:top w:w="12" w:type="dxa"/>
              <w:left w:w="12" w:type="dxa"/>
              <w:right w:w="12" w:type="dxa"/>
            </w:tcMar>
            <w:vAlign w:val="center"/>
          </w:tcPr>
          <w:p w14:paraId="25490C16">
            <w:pPr>
              <w:widowControl/>
              <w:spacing w:line="320" w:lineRule="exact"/>
              <w:jc w:val="center"/>
              <w:textAlignment w:val="center"/>
              <w:rPr>
                <w:rFonts w:hint="eastAsia" w:ascii="仿宋_GB2312" w:hAnsi="仿宋_GB2312" w:eastAsia="仿宋_GB2312" w:cs="仿宋_GB2312"/>
                <w:b/>
                <w:snapToGrid w:val="0"/>
                <w:color w:val="auto"/>
                <w:spacing w:val="0"/>
                <w:kern w:val="0"/>
                <w:sz w:val="21"/>
                <w:szCs w:val="21"/>
              </w:rPr>
            </w:pPr>
            <w:r>
              <w:rPr>
                <w:rFonts w:hint="eastAsia" w:ascii="仿宋_GB2312" w:hAnsi="仿宋_GB2312" w:eastAsia="仿宋_GB2312" w:cs="仿宋_GB2312"/>
                <w:b/>
                <w:snapToGrid w:val="0"/>
                <w:color w:val="auto"/>
                <w:spacing w:val="0"/>
                <w:kern w:val="0"/>
                <w:sz w:val="21"/>
                <w:szCs w:val="21"/>
              </w:rPr>
              <w:t>一级指标</w:t>
            </w:r>
          </w:p>
        </w:tc>
        <w:tc>
          <w:tcPr>
            <w:tcW w:w="473" w:type="pct"/>
            <w:noWrap w:val="0"/>
            <w:tcMar>
              <w:top w:w="12" w:type="dxa"/>
              <w:left w:w="12" w:type="dxa"/>
              <w:right w:w="12" w:type="dxa"/>
            </w:tcMar>
            <w:vAlign w:val="center"/>
          </w:tcPr>
          <w:p w14:paraId="6E02AFA5">
            <w:pPr>
              <w:widowControl/>
              <w:spacing w:line="320" w:lineRule="exact"/>
              <w:jc w:val="center"/>
              <w:textAlignment w:val="center"/>
              <w:rPr>
                <w:rFonts w:hint="eastAsia" w:ascii="仿宋_GB2312" w:hAnsi="仿宋_GB2312" w:eastAsia="仿宋_GB2312" w:cs="仿宋_GB2312"/>
                <w:b/>
                <w:snapToGrid w:val="0"/>
                <w:color w:val="auto"/>
                <w:spacing w:val="0"/>
                <w:kern w:val="0"/>
                <w:sz w:val="21"/>
                <w:szCs w:val="21"/>
              </w:rPr>
            </w:pPr>
            <w:r>
              <w:rPr>
                <w:rFonts w:hint="eastAsia" w:ascii="仿宋_GB2312" w:hAnsi="仿宋_GB2312" w:eastAsia="仿宋_GB2312" w:cs="仿宋_GB2312"/>
                <w:b/>
                <w:snapToGrid w:val="0"/>
                <w:color w:val="auto"/>
                <w:spacing w:val="0"/>
                <w:kern w:val="0"/>
                <w:sz w:val="21"/>
                <w:szCs w:val="21"/>
              </w:rPr>
              <w:t>二级指标</w:t>
            </w:r>
          </w:p>
        </w:tc>
        <w:tc>
          <w:tcPr>
            <w:tcW w:w="2147" w:type="pct"/>
            <w:noWrap w:val="0"/>
            <w:tcMar>
              <w:top w:w="12" w:type="dxa"/>
              <w:left w:w="12" w:type="dxa"/>
              <w:right w:w="12" w:type="dxa"/>
            </w:tcMar>
            <w:vAlign w:val="center"/>
          </w:tcPr>
          <w:p w14:paraId="4BFB324A">
            <w:pPr>
              <w:widowControl/>
              <w:spacing w:line="320" w:lineRule="exact"/>
              <w:jc w:val="center"/>
              <w:textAlignment w:val="center"/>
              <w:rPr>
                <w:rFonts w:hint="eastAsia" w:ascii="仿宋_GB2312" w:hAnsi="仿宋_GB2312" w:eastAsia="仿宋_GB2312" w:cs="仿宋_GB2312"/>
                <w:b/>
                <w:snapToGrid w:val="0"/>
                <w:color w:val="auto"/>
                <w:spacing w:val="0"/>
                <w:kern w:val="0"/>
                <w:sz w:val="21"/>
                <w:szCs w:val="21"/>
              </w:rPr>
            </w:pPr>
            <w:r>
              <w:rPr>
                <w:rFonts w:hint="eastAsia" w:ascii="仿宋_GB2312" w:hAnsi="仿宋_GB2312" w:eastAsia="仿宋_GB2312" w:cs="仿宋_GB2312"/>
                <w:b/>
                <w:snapToGrid w:val="0"/>
                <w:color w:val="auto"/>
                <w:spacing w:val="0"/>
                <w:kern w:val="0"/>
                <w:sz w:val="21"/>
                <w:szCs w:val="21"/>
              </w:rPr>
              <w:t>评分规则</w:t>
            </w:r>
          </w:p>
        </w:tc>
        <w:tc>
          <w:tcPr>
            <w:tcW w:w="583" w:type="pct"/>
            <w:noWrap w:val="0"/>
            <w:tcMar>
              <w:top w:w="12" w:type="dxa"/>
              <w:left w:w="12" w:type="dxa"/>
              <w:right w:w="12" w:type="dxa"/>
            </w:tcMar>
            <w:vAlign w:val="center"/>
          </w:tcPr>
          <w:p w14:paraId="3A16F7C1">
            <w:pPr>
              <w:widowControl/>
              <w:spacing w:line="320" w:lineRule="exact"/>
              <w:jc w:val="center"/>
              <w:textAlignment w:val="center"/>
              <w:rPr>
                <w:rFonts w:hint="eastAsia" w:ascii="仿宋_GB2312" w:hAnsi="仿宋_GB2312" w:eastAsia="仿宋_GB2312" w:cs="仿宋_GB2312"/>
                <w:b/>
                <w:snapToGrid w:val="0"/>
                <w:color w:val="auto"/>
                <w:spacing w:val="0"/>
                <w:kern w:val="0"/>
                <w:sz w:val="21"/>
                <w:szCs w:val="21"/>
              </w:rPr>
            </w:pPr>
            <w:r>
              <w:rPr>
                <w:rFonts w:hint="eastAsia" w:ascii="仿宋_GB2312" w:hAnsi="仿宋_GB2312" w:eastAsia="仿宋_GB2312" w:cs="仿宋_GB2312"/>
                <w:b/>
                <w:snapToGrid w:val="0"/>
                <w:color w:val="auto"/>
                <w:spacing w:val="0"/>
                <w:kern w:val="0"/>
                <w:sz w:val="21"/>
                <w:szCs w:val="21"/>
              </w:rPr>
              <w:t>计分方式</w:t>
            </w:r>
          </w:p>
        </w:tc>
        <w:tc>
          <w:tcPr>
            <w:tcW w:w="1175" w:type="pct"/>
            <w:noWrap w:val="0"/>
            <w:tcMar>
              <w:top w:w="12" w:type="dxa"/>
              <w:left w:w="12" w:type="dxa"/>
              <w:right w:w="12" w:type="dxa"/>
            </w:tcMar>
            <w:vAlign w:val="center"/>
          </w:tcPr>
          <w:p w14:paraId="05CA628B">
            <w:pPr>
              <w:widowControl/>
              <w:spacing w:line="320" w:lineRule="exact"/>
              <w:jc w:val="center"/>
              <w:textAlignment w:val="center"/>
              <w:rPr>
                <w:rFonts w:hint="eastAsia" w:ascii="仿宋_GB2312" w:hAnsi="仿宋_GB2312" w:eastAsia="仿宋_GB2312" w:cs="仿宋_GB2312"/>
                <w:b/>
                <w:snapToGrid w:val="0"/>
                <w:color w:val="auto"/>
                <w:spacing w:val="0"/>
                <w:kern w:val="0"/>
                <w:sz w:val="21"/>
                <w:szCs w:val="21"/>
              </w:rPr>
            </w:pPr>
            <w:r>
              <w:rPr>
                <w:rFonts w:hint="eastAsia" w:ascii="仿宋_GB2312" w:hAnsi="仿宋_GB2312" w:eastAsia="仿宋_GB2312" w:cs="仿宋_GB2312"/>
                <w:b/>
                <w:snapToGrid w:val="0"/>
                <w:color w:val="auto"/>
                <w:spacing w:val="0"/>
                <w:kern w:val="0"/>
                <w:sz w:val="21"/>
                <w:szCs w:val="21"/>
              </w:rPr>
              <w:t>备注</w:t>
            </w:r>
          </w:p>
        </w:tc>
      </w:tr>
      <w:tr w14:paraId="63268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5C659D22">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rPr>
            </w:pPr>
            <w:r>
              <w:rPr>
                <w:rFonts w:hint="eastAsia" w:ascii="仿宋_GB2312" w:hAnsi="仿宋_GB2312" w:eastAsia="仿宋_GB2312" w:cs="仿宋_GB2312"/>
                <w:snapToGrid w:val="0"/>
                <w:color w:val="auto"/>
                <w:spacing w:val="0"/>
                <w:kern w:val="0"/>
                <w:sz w:val="21"/>
                <w:szCs w:val="21"/>
                <w:lang w:val="en-US" w:eastAsia="zh-CN"/>
              </w:rPr>
              <w:t>1</w:t>
            </w:r>
          </w:p>
        </w:tc>
        <w:tc>
          <w:tcPr>
            <w:tcW w:w="318" w:type="pct"/>
            <w:vMerge w:val="restart"/>
            <w:noWrap w:val="0"/>
            <w:tcMar>
              <w:top w:w="12" w:type="dxa"/>
              <w:left w:w="12" w:type="dxa"/>
              <w:right w:w="12" w:type="dxa"/>
            </w:tcMar>
            <w:vAlign w:val="center"/>
          </w:tcPr>
          <w:p w14:paraId="0C00EE7F">
            <w:pPr>
              <w:spacing w:line="320" w:lineRule="exact"/>
              <w:jc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基本信息</w:t>
            </w:r>
          </w:p>
        </w:tc>
        <w:tc>
          <w:tcPr>
            <w:tcW w:w="473" w:type="pct"/>
            <w:vMerge w:val="restart"/>
            <w:noWrap w:val="0"/>
            <w:tcMar>
              <w:top w:w="12" w:type="dxa"/>
              <w:left w:w="12" w:type="dxa"/>
              <w:right w:w="12" w:type="dxa"/>
            </w:tcMar>
            <w:vAlign w:val="center"/>
          </w:tcPr>
          <w:p w14:paraId="714D3FD0">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人员信息</w:t>
            </w:r>
          </w:p>
        </w:tc>
        <w:tc>
          <w:tcPr>
            <w:tcW w:w="2147" w:type="pct"/>
            <w:noWrap w:val="0"/>
            <w:tcMar>
              <w:top w:w="12" w:type="dxa"/>
              <w:left w:w="12" w:type="dxa"/>
              <w:right w:w="12" w:type="dxa"/>
            </w:tcMar>
            <w:vAlign w:val="center"/>
          </w:tcPr>
          <w:p w14:paraId="736BBFA6">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地震学相关专业高级专业技术职称的</w:t>
            </w:r>
            <w:r>
              <w:rPr>
                <w:rFonts w:hint="eastAsia" w:ascii="仿宋_GB2312" w:hAnsi="仿宋_GB2312" w:eastAsia="仿宋_GB2312" w:cs="仿宋_GB2312"/>
                <w:snapToGrid w:val="0"/>
                <w:color w:val="auto"/>
                <w:spacing w:val="0"/>
                <w:kern w:val="0"/>
                <w:sz w:val="21"/>
                <w:szCs w:val="21"/>
                <w:lang w:val="en"/>
              </w:rPr>
              <w:t>全职</w:t>
            </w:r>
            <w:r>
              <w:rPr>
                <w:rFonts w:hint="eastAsia" w:ascii="仿宋_GB2312" w:hAnsi="仿宋_GB2312" w:eastAsia="仿宋_GB2312" w:cs="仿宋_GB2312"/>
                <w:snapToGrid w:val="0"/>
                <w:color w:val="auto"/>
                <w:spacing w:val="0"/>
                <w:kern w:val="0"/>
                <w:sz w:val="21"/>
                <w:szCs w:val="21"/>
              </w:rPr>
              <w:t>人员不少于2人，每多一人加1分，最多加</w:t>
            </w:r>
            <w:r>
              <w:rPr>
                <w:rFonts w:hint="eastAsia" w:ascii="仿宋_GB2312" w:hAnsi="仿宋_GB2312" w:eastAsia="仿宋_GB2312" w:cs="仿宋_GB2312"/>
                <w:snapToGrid w:val="0"/>
                <w:color w:val="auto"/>
                <w:spacing w:val="0"/>
                <w:kern w:val="0"/>
                <w:sz w:val="21"/>
                <w:szCs w:val="21"/>
                <w:lang w:val="en-US" w:eastAsia="zh-CN"/>
              </w:rPr>
              <w:t>3</w:t>
            </w:r>
            <w:r>
              <w:rPr>
                <w:rFonts w:hint="eastAsia" w:ascii="仿宋_GB2312" w:hAnsi="仿宋_GB2312" w:eastAsia="仿宋_GB2312" w:cs="仿宋_GB2312"/>
                <w:snapToGrid w:val="0"/>
                <w:color w:val="auto"/>
                <w:spacing w:val="0"/>
                <w:kern w:val="0"/>
                <w:sz w:val="21"/>
                <w:szCs w:val="21"/>
              </w:rPr>
              <w:t>分</w:t>
            </w:r>
          </w:p>
        </w:tc>
        <w:tc>
          <w:tcPr>
            <w:tcW w:w="583" w:type="pct"/>
            <w:noWrap w:val="0"/>
            <w:tcMar>
              <w:top w:w="12" w:type="dxa"/>
              <w:left w:w="12" w:type="dxa"/>
              <w:right w:w="12" w:type="dxa"/>
            </w:tcMar>
            <w:vAlign w:val="center"/>
          </w:tcPr>
          <w:p w14:paraId="49EA401A">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加1分</w:t>
            </w:r>
          </w:p>
        </w:tc>
        <w:tc>
          <w:tcPr>
            <w:tcW w:w="1175" w:type="pct"/>
            <w:vMerge w:val="restart"/>
            <w:noWrap w:val="0"/>
            <w:tcMar>
              <w:top w:w="12" w:type="dxa"/>
              <w:left w:w="12" w:type="dxa"/>
              <w:right w:w="12" w:type="dxa"/>
            </w:tcMar>
            <w:vAlign w:val="center"/>
          </w:tcPr>
          <w:p w14:paraId="562A1756">
            <w:pPr>
              <w:spacing w:line="320" w:lineRule="exact"/>
              <w:jc w:val="left"/>
              <w:rPr>
                <w:rFonts w:hint="eastAsia" w:ascii="仿宋_GB2312" w:hAnsi="仿宋_GB2312" w:eastAsia="仿宋_GB2312" w:cs="仿宋_GB2312"/>
                <w:snapToGrid w:val="0"/>
                <w:color w:val="auto"/>
                <w:spacing w:val="0"/>
                <w:kern w:val="0"/>
                <w:sz w:val="21"/>
                <w:szCs w:val="21"/>
                <w:lang w:val="en-US" w:eastAsia="zh-CN"/>
              </w:rPr>
            </w:pPr>
            <w:r>
              <w:rPr>
                <w:rFonts w:hint="eastAsia" w:ascii="仿宋_GB2312" w:hAnsi="仿宋_GB2312" w:eastAsia="仿宋_GB2312" w:cs="仿宋_GB2312"/>
                <w:snapToGrid w:val="0"/>
                <w:color w:val="auto"/>
                <w:spacing w:val="0"/>
                <w:kern w:val="0"/>
                <w:sz w:val="21"/>
                <w:szCs w:val="21"/>
                <w:lang w:val="en-US" w:eastAsia="zh-CN"/>
              </w:rPr>
              <w:t>专业技术人员具体要求见《</w:t>
            </w:r>
            <w:r>
              <w:rPr>
                <w:rFonts w:hint="eastAsia" w:ascii="仿宋_GB2312" w:hAnsi="仿宋_GB2312" w:eastAsia="仿宋_GB2312" w:cs="仿宋_GB2312"/>
                <w:snapToGrid w:val="0"/>
                <w:color w:val="auto"/>
                <w:spacing w:val="0"/>
                <w:kern w:val="0"/>
                <w:sz w:val="21"/>
                <w:szCs w:val="21"/>
              </w:rPr>
              <w:t>关于开展地震安全性评价从业单位专业技术人员信息收集和公示工作的通知</w:t>
            </w:r>
            <w:r>
              <w:rPr>
                <w:rFonts w:hint="eastAsia" w:ascii="仿宋_GB2312" w:hAnsi="仿宋_GB2312" w:eastAsia="仿宋_GB2312" w:cs="仿宋_GB2312"/>
                <w:snapToGrid w:val="0"/>
                <w:color w:val="auto"/>
                <w:spacing w:val="0"/>
                <w:kern w:val="0"/>
                <w:sz w:val="21"/>
                <w:szCs w:val="21"/>
                <w:lang w:val="en-US" w:eastAsia="zh-CN"/>
              </w:rPr>
              <w:t>》（中震函〔2022〕118号）</w:t>
            </w:r>
            <w:r>
              <w:rPr>
                <w:rFonts w:hint="eastAsia" w:ascii="仿宋_GB2312" w:hAnsi="仿宋_GB2312" w:eastAsia="仿宋_GB2312" w:cs="仿宋_GB2312"/>
                <w:snapToGrid w:val="0"/>
                <w:color w:val="auto"/>
                <w:spacing w:val="0"/>
                <w:kern w:val="0"/>
                <w:sz w:val="21"/>
                <w:szCs w:val="21"/>
                <w:lang w:eastAsia="zh-CN"/>
              </w:rPr>
              <w:t>。</w:t>
            </w:r>
          </w:p>
        </w:tc>
      </w:tr>
      <w:tr w14:paraId="39D0B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5ECD5702">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rPr>
            </w:pPr>
            <w:r>
              <w:rPr>
                <w:rFonts w:hint="eastAsia" w:ascii="仿宋_GB2312" w:hAnsi="仿宋_GB2312" w:eastAsia="仿宋_GB2312" w:cs="仿宋_GB2312"/>
                <w:snapToGrid w:val="0"/>
                <w:color w:val="auto"/>
                <w:spacing w:val="0"/>
                <w:kern w:val="0"/>
                <w:sz w:val="21"/>
                <w:szCs w:val="21"/>
                <w:lang w:val="en-US" w:eastAsia="zh-CN"/>
              </w:rPr>
              <w:t>2</w:t>
            </w:r>
          </w:p>
        </w:tc>
        <w:tc>
          <w:tcPr>
            <w:tcW w:w="318" w:type="pct"/>
            <w:vMerge w:val="continue"/>
            <w:noWrap w:val="0"/>
            <w:tcMar>
              <w:top w:w="12" w:type="dxa"/>
              <w:left w:w="12" w:type="dxa"/>
              <w:right w:w="12" w:type="dxa"/>
            </w:tcMar>
            <w:vAlign w:val="center"/>
          </w:tcPr>
          <w:p w14:paraId="137371E2">
            <w:pPr>
              <w:spacing w:line="320" w:lineRule="exact"/>
              <w:jc w:val="center"/>
              <w:rPr>
                <w:rFonts w:hint="eastAsia" w:ascii="仿宋_GB2312" w:hAnsi="仿宋_GB2312" w:eastAsia="仿宋_GB2312" w:cs="仿宋_GB2312"/>
                <w:snapToGrid w:val="0"/>
                <w:color w:val="auto"/>
                <w:spacing w:val="0"/>
                <w:kern w:val="0"/>
                <w:sz w:val="21"/>
                <w:szCs w:val="21"/>
              </w:rPr>
            </w:pPr>
          </w:p>
        </w:tc>
        <w:tc>
          <w:tcPr>
            <w:tcW w:w="473" w:type="pct"/>
            <w:vMerge w:val="continue"/>
            <w:noWrap w:val="0"/>
            <w:tcMar>
              <w:top w:w="12" w:type="dxa"/>
              <w:left w:w="12" w:type="dxa"/>
              <w:right w:w="12" w:type="dxa"/>
            </w:tcMar>
            <w:vAlign w:val="center"/>
          </w:tcPr>
          <w:p w14:paraId="0CDD87B4">
            <w:pPr>
              <w:spacing w:line="320" w:lineRule="exact"/>
              <w:jc w:val="left"/>
              <w:rPr>
                <w:rFonts w:hint="eastAsia" w:ascii="仿宋_GB2312" w:hAnsi="仿宋_GB2312" w:eastAsia="仿宋_GB2312" w:cs="仿宋_GB2312"/>
                <w:snapToGrid w:val="0"/>
                <w:color w:val="auto"/>
                <w:spacing w:val="0"/>
                <w:kern w:val="0"/>
                <w:sz w:val="21"/>
                <w:szCs w:val="21"/>
              </w:rPr>
            </w:pPr>
          </w:p>
        </w:tc>
        <w:tc>
          <w:tcPr>
            <w:tcW w:w="2147" w:type="pct"/>
            <w:noWrap w:val="0"/>
            <w:tcMar>
              <w:top w:w="12" w:type="dxa"/>
              <w:left w:w="12" w:type="dxa"/>
              <w:right w:w="12" w:type="dxa"/>
            </w:tcMar>
            <w:vAlign w:val="center"/>
          </w:tcPr>
          <w:p w14:paraId="32AD4036">
            <w:pPr>
              <w:widowControl/>
              <w:spacing w:line="320" w:lineRule="exact"/>
              <w:jc w:val="left"/>
              <w:textAlignment w:val="center"/>
              <w:rPr>
                <w:rFonts w:hint="eastAsia" w:ascii="仿宋_GB2312" w:hAnsi="仿宋_GB2312" w:eastAsia="仿宋_GB2312" w:cs="仿宋_GB2312"/>
                <w:snapToGrid w:val="0"/>
                <w:color w:val="auto"/>
                <w:spacing w:val="-6"/>
                <w:kern w:val="0"/>
                <w:sz w:val="21"/>
                <w:szCs w:val="21"/>
              </w:rPr>
            </w:pPr>
            <w:r>
              <w:rPr>
                <w:rFonts w:hint="eastAsia" w:ascii="仿宋_GB2312" w:hAnsi="仿宋_GB2312" w:eastAsia="仿宋_GB2312" w:cs="仿宋_GB2312"/>
                <w:snapToGrid w:val="0"/>
                <w:color w:val="auto"/>
                <w:spacing w:val="-6"/>
                <w:kern w:val="0"/>
                <w:sz w:val="21"/>
                <w:szCs w:val="21"/>
              </w:rPr>
              <w:t>地震地质学相关专业高级专业技术职称的</w:t>
            </w:r>
            <w:r>
              <w:rPr>
                <w:rFonts w:hint="eastAsia" w:ascii="仿宋_GB2312" w:hAnsi="仿宋_GB2312" w:eastAsia="仿宋_GB2312" w:cs="仿宋_GB2312"/>
                <w:snapToGrid w:val="0"/>
                <w:color w:val="auto"/>
                <w:spacing w:val="-6"/>
                <w:kern w:val="0"/>
                <w:sz w:val="21"/>
                <w:szCs w:val="21"/>
                <w:lang w:val="en"/>
              </w:rPr>
              <w:t>全职</w:t>
            </w:r>
            <w:r>
              <w:rPr>
                <w:rFonts w:hint="eastAsia" w:ascii="仿宋_GB2312" w:hAnsi="仿宋_GB2312" w:eastAsia="仿宋_GB2312" w:cs="仿宋_GB2312"/>
                <w:snapToGrid w:val="0"/>
                <w:color w:val="auto"/>
                <w:spacing w:val="-6"/>
                <w:kern w:val="0"/>
                <w:sz w:val="21"/>
                <w:szCs w:val="21"/>
              </w:rPr>
              <w:t>人员不少于2人，每多一人加1分，最多加</w:t>
            </w:r>
            <w:r>
              <w:rPr>
                <w:rFonts w:hint="eastAsia" w:ascii="仿宋_GB2312" w:hAnsi="仿宋_GB2312" w:eastAsia="仿宋_GB2312" w:cs="仿宋_GB2312"/>
                <w:snapToGrid w:val="0"/>
                <w:color w:val="auto"/>
                <w:spacing w:val="-6"/>
                <w:kern w:val="0"/>
                <w:sz w:val="21"/>
                <w:szCs w:val="21"/>
                <w:lang w:val="en-US" w:eastAsia="zh-CN"/>
              </w:rPr>
              <w:t>3</w:t>
            </w:r>
            <w:r>
              <w:rPr>
                <w:rFonts w:hint="eastAsia" w:ascii="仿宋_GB2312" w:hAnsi="仿宋_GB2312" w:eastAsia="仿宋_GB2312" w:cs="仿宋_GB2312"/>
                <w:snapToGrid w:val="0"/>
                <w:color w:val="auto"/>
                <w:spacing w:val="-6"/>
                <w:kern w:val="0"/>
                <w:sz w:val="21"/>
                <w:szCs w:val="21"/>
              </w:rPr>
              <w:t>分</w:t>
            </w:r>
          </w:p>
        </w:tc>
        <w:tc>
          <w:tcPr>
            <w:tcW w:w="583" w:type="pct"/>
            <w:noWrap w:val="0"/>
            <w:tcMar>
              <w:top w:w="12" w:type="dxa"/>
              <w:left w:w="12" w:type="dxa"/>
              <w:right w:w="12" w:type="dxa"/>
            </w:tcMar>
            <w:vAlign w:val="center"/>
          </w:tcPr>
          <w:p w14:paraId="6902BBDE">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加1分</w:t>
            </w:r>
          </w:p>
        </w:tc>
        <w:tc>
          <w:tcPr>
            <w:tcW w:w="1175" w:type="pct"/>
            <w:vMerge w:val="continue"/>
            <w:noWrap w:val="0"/>
            <w:tcMar>
              <w:top w:w="12" w:type="dxa"/>
              <w:left w:w="12" w:type="dxa"/>
              <w:right w:w="12" w:type="dxa"/>
            </w:tcMar>
            <w:vAlign w:val="center"/>
          </w:tcPr>
          <w:p w14:paraId="506B8FE5">
            <w:pPr>
              <w:spacing w:line="320" w:lineRule="exact"/>
              <w:jc w:val="left"/>
              <w:rPr>
                <w:rFonts w:hint="eastAsia" w:ascii="仿宋_GB2312" w:hAnsi="仿宋_GB2312" w:eastAsia="仿宋_GB2312" w:cs="仿宋_GB2312"/>
                <w:snapToGrid w:val="0"/>
                <w:color w:val="auto"/>
                <w:spacing w:val="0"/>
                <w:kern w:val="0"/>
                <w:sz w:val="21"/>
                <w:szCs w:val="21"/>
              </w:rPr>
            </w:pPr>
          </w:p>
        </w:tc>
      </w:tr>
      <w:tr w14:paraId="08049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259979D9">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 w:eastAsia="zh-CN"/>
              </w:rPr>
            </w:pPr>
            <w:r>
              <w:rPr>
                <w:rFonts w:hint="eastAsia" w:ascii="仿宋_GB2312" w:hAnsi="仿宋_GB2312" w:eastAsia="仿宋_GB2312" w:cs="仿宋_GB2312"/>
                <w:snapToGrid w:val="0"/>
                <w:color w:val="auto"/>
                <w:spacing w:val="0"/>
                <w:kern w:val="0"/>
                <w:sz w:val="21"/>
                <w:szCs w:val="21"/>
                <w:lang w:val="en" w:eastAsia="zh-CN"/>
              </w:rPr>
              <w:t>3</w:t>
            </w:r>
          </w:p>
        </w:tc>
        <w:tc>
          <w:tcPr>
            <w:tcW w:w="318" w:type="pct"/>
            <w:vMerge w:val="continue"/>
            <w:noWrap w:val="0"/>
            <w:tcMar>
              <w:top w:w="12" w:type="dxa"/>
              <w:left w:w="12" w:type="dxa"/>
              <w:right w:w="12" w:type="dxa"/>
            </w:tcMar>
            <w:vAlign w:val="center"/>
          </w:tcPr>
          <w:p w14:paraId="1E46285B">
            <w:pPr>
              <w:spacing w:line="320" w:lineRule="exact"/>
              <w:jc w:val="center"/>
              <w:rPr>
                <w:rFonts w:hint="eastAsia" w:ascii="仿宋_GB2312" w:hAnsi="仿宋_GB2312" w:eastAsia="仿宋_GB2312" w:cs="仿宋_GB2312"/>
                <w:snapToGrid w:val="0"/>
                <w:color w:val="auto"/>
                <w:spacing w:val="0"/>
                <w:kern w:val="0"/>
                <w:sz w:val="21"/>
                <w:szCs w:val="21"/>
              </w:rPr>
            </w:pPr>
          </w:p>
        </w:tc>
        <w:tc>
          <w:tcPr>
            <w:tcW w:w="473" w:type="pct"/>
            <w:vMerge w:val="continue"/>
            <w:noWrap w:val="0"/>
            <w:tcMar>
              <w:top w:w="12" w:type="dxa"/>
              <w:left w:w="12" w:type="dxa"/>
              <w:right w:w="12" w:type="dxa"/>
            </w:tcMar>
            <w:vAlign w:val="center"/>
          </w:tcPr>
          <w:p w14:paraId="5BF0F858">
            <w:pPr>
              <w:spacing w:line="320" w:lineRule="exact"/>
              <w:jc w:val="left"/>
              <w:rPr>
                <w:rFonts w:hint="eastAsia" w:ascii="仿宋_GB2312" w:hAnsi="仿宋_GB2312" w:eastAsia="仿宋_GB2312" w:cs="仿宋_GB2312"/>
                <w:snapToGrid w:val="0"/>
                <w:color w:val="auto"/>
                <w:spacing w:val="0"/>
                <w:kern w:val="0"/>
                <w:sz w:val="21"/>
                <w:szCs w:val="21"/>
              </w:rPr>
            </w:pPr>
          </w:p>
        </w:tc>
        <w:tc>
          <w:tcPr>
            <w:tcW w:w="2147" w:type="pct"/>
            <w:noWrap w:val="0"/>
            <w:tcMar>
              <w:top w:w="12" w:type="dxa"/>
              <w:left w:w="12" w:type="dxa"/>
              <w:right w:w="12" w:type="dxa"/>
            </w:tcMar>
            <w:vAlign w:val="center"/>
          </w:tcPr>
          <w:p w14:paraId="509764D6">
            <w:pPr>
              <w:widowControl/>
              <w:spacing w:line="320" w:lineRule="exact"/>
              <w:jc w:val="left"/>
              <w:textAlignment w:val="center"/>
              <w:rPr>
                <w:rFonts w:hint="eastAsia" w:ascii="仿宋_GB2312" w:hAnsi="仿宋_GB2312" w:eastAsia="仿宋_GB2312" w:cs="仿宋_GB2312"/>
                <w:snapToGrid w:val="0"/>
                <w:color w:val="auto"/>
                <w:spacing w:val="-6"/>
                <w:kern w:val="0"/>
                <w:sz w:val="21"/>
                <w:szCs w:val="21"/>
                <w:lang w:val="en-US" w:eastAsia="zh-CN" w:bidi="ar-SA"/>
              </w:rPr>
            </w:pPr>
            <w:r>
              <w:rPr>
                <w:rFonts w:hint="eastAsia" w:ascii="仿宋_GB2312" w:hAnsi="仿宋_GB2312" w:eastAsia="仿宋_GB2312" w:cs="仿宋_GB2312"/>
                <w:snapToGrid w:val="0"/>
                <w:color w:val="auto"/>
                <w:spacing w:val="-6"/>
                <w:kern w:val="0"/>
                <w:sz w:val="21"/>
                <w:szCs w:val="21"/>
              </w:rPr>
              <w:t>地震工程学相关专业高级专业技术职称</w:t>
            </w:r>
            <w:r>
              <w:rPr>
                <w:rFonts w:hint="eastAsia" w:ascii="仿宋_GB2312" w:hAnsi="仿宋_GB2312" w:eastAsia="仿宋_GB2312" w:cs="仿宋_GB2312"/>
                <w:snapToGrid w:val="0"/>
                <w:color w:val="auto"/>
                <w:spacing w:val="-6"/>
                <w:kern w:val="0"/>
                <w:sz w:val="21"/>
                <w:szCs w:val="21"/>
                <w:lang w:val="en"/>
              </w:rPr>
              <w:t>全职</w:t>
            </w:r>
            <w:r>
              <w:rPr>
                <w:rFonts w:hint="eastAsia" w:ascii="仿宋_GB2312" w:hAnsi="仿宋_GB2312" w:eastAsia="仿宋_GB2312" w:cs="仿宋_GB2312"/>
                <w:snapToGrid w:val="0"/>
                <w:color w:val="auto"/>
                <w:spacing w:val="-6"/>
                <w:kern w:val="0"/>
                <w:sz w:val="21"/>
                <w:szCs w:val="21"/>
              </w:rPr>
              <w:t>人员不少于2人，每多一人加1分，最多加</w:t>
            </w:r>
            <w:r>
              <w:rPr>
                <w:rFonts w:hint="eastAsia" w:ascii="仿宋_GB2312" w:hAnsi="仿宋_GB2312" w:eastAsia="仿宋_GB2312" w:cs="仿宋_GB2312"/>
                <w:snapToGrid w:val="0"/>
                <w:color w:val="auto"/>
                <w:spacing w:val="-6"/>
                <w:kern w:val="0"/>
                <w:sz w:val="21"/>
                <w:szCs w:val="21"/>
                <w:lang w:val="en-US" w:eastAsia="zh-CN"/>
              </w:rPr>
              <w:t>3</w:t>
            </w:r>
            <w:r>
              <w:rPr>
                <w:rFonts w:hint="eastAsia" w:ascii="仿宋_GB2312" w:hAnsi="仿宋_GB2312" w:eastAsia="仿宋_GB2312" w:cs="仿宋_GB2312"/>
                <w:snapToGrid w:val="0"/>
                <w:color w:val="auto"/>
                <w:spacing w:val="-6"/>
                <w:kern w:val="0"/>
                <w:sz w:val="21"/>
                <w:szCs w:val="21"/>
              </w:rPr>
              <w:t>分</w:t>
            </w:r>
          </w:p>
        </w:tc>
        <w:tc>
          <w:tcPr>
            <w:tcW w:w="583" w:type="pct"/>
            <w:noWrap w:val="0"/>
            <w:tcMar>
              <w:top w:w="12" w:type="dxa"/>
              <w:left w:w="12" w:type="dxa"/>
              <w:right w:w="12" w:type="dxa"/>
            </w:tcMar>
            <w:vAlign w:val="center"/>
          </w:tcPr>
          <w:p w14:paraId="722D80C1">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加1分</w:t>
            </w:r>
          </w:p>
        </w:tc>
        <w:tc>
          <w:tcPr>
            <w:tcW w:w="1175" w:type="pct"/>
            <w:vMerge w:val="continue"/>
            <w:noWrap w:val="0"/>
            <w:tcMar>
              <w:top w:w="12" w:type="dxa"/>
              <w:left w:w="12" w:type="dxa"/>
              <w:right w:w="12" w:type="dxa"/>
            </w:tcMar>
            <w:vAlign w:val="center"/>
          </w:tcPr>
          <w:p w14:paraId="28F0A381">
            <w:pPr>
              <w:spacing w:line="320" w:lineRule="exact"/>
              <w:jc w:val="left"/>
              <w:rPr>
                <w:rFonts w:hint="eastAsia" w:ascii="仿宋_GB2312" w:hAnsi="仿宋_GB2312" w:eastAsia="仿宋_GB2312" w:cs="仿宋_GB2312"/>
                <w:snapToGrid w:val="0"/>
                <w:color w:val="auto"/>
                <w:spacing w:val="0"/>
                <w:kern w:val="0"/>
                <w:sz w:val="21"/>
                <w:szCs w:val="21"/>
              </w:rPr>
            </w:pPr>
          </w:p>
        </w:tc>
      </w:tr>
      <w:tr w14:paraId="6036A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209D1D6F">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 w:eastAsia="zh-CN"/>
              </w:rPr>
            </w:pPr>
            <w:r>
              <w:rPr>
                <w:rFonts w:hint="eastAsia" w:ascii="仿宋_GB2312" w:hAnsi="仿宋_GB2312" w:eastAsia="仿宋_GB2312" w:cs="仿宋_GB2312"/>
                <w:snapToGrid w:val="0"/>
                <w:color w:val="auto"/>
                <w:spacing w:val="0"/>
                <w:kern w:val="0"/>
                <w:sz w:val="21"/>
                <w:szCs w:val="21"/>
                <w:lang w:val="en" w:eastAsia="zh-CN"/>
              </w:rPr>
              <w:t>4</w:t>
            </w:r>
          </w:p>
        </w:tc>
        <w:tc>
          <w:tcPr>
            <w:tcW w:w="318" w:type="pct"/>
            <w:vMerge w:val="continue"/>
            <w:noWrap w:val="0"/>
            <w:tcMar>
              <w:top w:w="12" w:type="dxa"/>
              <w:left w:w="12" w:type="dxa"/>
              <w:right w:w="12" w:type="dxa"/>
            </w:tcMar>
            <w:vAlign w:val="center"/>
          </w:tcPr>
          <w:p w14:paraId="17DAD154">
            <w:pPr>
              <w:spacing w:line="320" w:lineRule="exact"/>
              <w:jc w:val="center"/>
              <w:rPr>
                <w:rFonts w:hint="eastAsia" w:ascii="仿宋_GB2312" w:hAnsi="仿宋_GB2312" w:eastAsia="仿宋_GB2312" w:cs="仿宋_GB2312"/>
                <w:snapToGrid w:val="0"/>
                <w:color w:val="auto"/>
                <w:spacing w:val="0"/>
                <w:kern w:val="0"/>
                <w:sz w:val="21"/>
                <w:szCs w:val="21"/>
              </w:rPr>
            </w:pPr>
          </w:p>
        </w:tc>
        <w:tc>
          <w:tcPr>
            <w:tcW w:w="473" w:type="pct"/>
            <w:vMerge w:val="continue"/>
            <w:noWrap w:val="0"/>
            <w:tcMar>
              <w:top w:w="12" w:type="dxa"/>
              <w:left w:w="12" w:type="dxa"/>
              <w:right w:w="12" w:type="dxa"/>
            </w:tcMar>
            <w:vAlign w:val="center"/>
          </w:tcPr>
          <w:p w14:paraId="09D8B257">
            <w:pPr>
              <w:spacing w:line="320" w:lineRule="exact"/>
              <w:jc w:val="left"/>
              <w:rPr>
                <w:rFonts w:hint="eastAsia" w:ascii="仿宋_GB2312" w:hAnsi="仿宋_GB2312" w:eastAsia="仿宋_GB2312" w:cs="仿宋_GB2312"/>
                <w:snapToGrid w:val="0"/>
                <w:color w:val="auto"/>
                <w:spacing w:val="0"/>
                <w:kern w:val="0"/>
                <w:sz w:val="21"/>
                <w:szCs w:val="21"/>
              </w:rPr>
            </w:pPr>
          </w:p>
        </w:tc>
        <w:tc>
          <w:tcPr>
            <w:tcW w:w="2147" w:type="pct"/>
            <w:noWrap w:val="0"/>
            <w:tcMar>
              <w:top w:w="12" w:type="dxa"/>
              <w:left w:w="12" w:type="dxa"/>
              <w:right w:w="12" w:type="dxa"/>
            </w:tcMar>
            <w:vAlign w:val="center"/>
          </w:tcPr>
          <w:p w14:paraId="501F181D">
            <w:pPr>
              <w:widowControl/>
              <w:spacing w:line="320" w:lineRule="exact"/>
              <w:jc w:val="left"/>
              <w:textAlignment w:val="center"/>
              <w:rPr>
                <w:rFonts w:hint="eastAsia" w:ascii="仿宋_GB2312" w:hAnsi="仿宋_GB2312" w:eastAsia="仿宋_GB2312" w:cs="仿宋_GB2312"/>
                <w:snapToGrid w:val="0"/>
                <w:color w:val="auto"/>
                <w:spacing w:val="-6"/>
                <w:kern w:val="0"/>
                <w:sz w:val="21"/>
                <w:szCs w:val="21"/>
              </w:rPr>
            </w:pPr>
            <w:r>
              <w:rPr>
                <w:rFonts w:hint="eastAsia" w:ascii="仿宋_GB2312" w:hAnsi="仿宋_GB2312" w:eastAsia="仿宋_GB2312" w:cs="仿宋_GB2312"/>
                <w:snapToGrid w:val="0"/>
                <w:color w:val="auto"/>
                <w:spacing w:val="-6"/>
                <w:kern w:val="0"/>
                <w:sz w:val="21"/>
                <w:szCs w:val="21"/>
                <w:lang w:val="en-US" w:eastAsia="zh-CN"/>
              </w:rPr>
              <w:t>以上3个相关专业具有高级专业技术职称的非全职人员，每一人加0.5分，最多加2分</w:t>
            </w:r>
          </w:p>
        </w:tc>
        <w:tc>
          <w:tcPr>
            <w:tcW w:w="583" w:type="pct"/>
            <w:noWrap w:val="0"/>
            <w:tcMar>
              <w:top w:w="12" w:type="dxa"/>
              <w:left w:w="12" w:type="dxa"/>
              <w:right w:w="12" w:type="dxa"/>
            </w:tcMar>
            <w:vAlign w:val="center"/>
          </w:tcPr>
          <w:p w14:paraId="10DE0567">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lang w:val="en-US" w:eastAsia="zh-CN"/>
              </w:rPr>
              <w:t>加0.5分</w:t>
            </w:r>
          </w:p>
        </w:tc>
        <w:tc>
          <w:tcPr>
            <w:tcW w:w="1175" w:type="pct"/>
            <w:vMerge w:val="continue"/>
            <w:noWrap w:val="0"/>
            <w:tcMar>
              <w:top w:w="12" w:type="dxa"/>
              <w:left w:w="12" w:type="dxa"/>
              <w:right w:w="12" w:type="dxa"/>
            </w:tcMar>
            <w:vAlign w:val="center"/>
          </w:tcPr>
          <w:p w14:paraId="04177E74">
            <w:pPr>
              <w:spacing w:line="320" w:lineRule="exact"/>
              <w:jc w:val="left"/>
              <w:rPr>
                <w:rFonts w:hint="eastAsia" w:ascii="仿宋_GB2312" w:hAnsi="仿宋_GB2312" w:eastAsia="仿宋_GB2312" w:cs="仿宋_GB2312"/>
                <w:snapToGrid w:val="0"/>
                <w:color w:val="auto"/>
                <w:spacing w:val="0"/>
                <w:kern w:val="0"/>
                <w:sz w:val="21"/>
                <w:szCs w:val="21"/>
                <w:lang w:val="en-US" w:eastAsia="zh-CN"/>
              </w:rPr>
            </w:pPr>
          </w:p>
        </w:tc>
      </w:tr>
      <w:tr w14:paraId="4C464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8" w:hRule="atLeast"/>
          <w:jc w:val="center"/>
        </w:trPr>
        <w:tc>
          <w:tcPr>
            <w:tcW w:w="301" w:type="pct"/>
            <w:noWrap w:val="0"/>
            <w:tcMar>
              <w:top w:w="12" w:type="dxa"/>
              <w:left w:w="12" w:type="dxa"/>
              <w:right w:w="12" w:type="dxa"/>
            </w:tcMar>
            <w:vAlign w:val="center"/>
          </w:tcPr>
          <w:p w14:paraId="66353628">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 w:eastAsia="zh-CN"/>
              </w:rPr>
            </w:pPr>
            <w:r>
              <w:rPr>
                <w:rFonts w:hint="eastAsia" w:ascii="仿宋_GB2312" w:hAnsi="仿宋_GB2312" w:eastAsia="仿宋_GB2312" w:cs="仿宋_GB2312"/>
                <w:snapToGrid w:val="0"/>
                <w:color w:val="auto"/>
                <w:spacing w:val="0"/>
                <w:kern w:val="0"/>
                <w:sz w:val="21"/>
                <w:szCs w:val="21"/>
                <w:lang w:val="en" w:eastAsia="zh-CN"/>
              </w:rPr>
              <w:t>5</w:t>
            </w:r>
          </w:p>
        </w:tc>
        <w:tc>
          <w:tcPr>
            <w:tcW w:w="318" w:type="pct"/>
            <w:vMerge w:val="restart"/>
            <w:noWrap w:val="0"/>
            <w:tcMar>
              <w:top w:w="12" w:type="dxa"/>
              <w:left w:w="12" w:type="dxa"/>
              <w:right w:w="12" w:type="dxa"/>
            </w:tcMar>
            <w:vAlign w:val="center"/>
          </w:tcPr>
          <w:p w14:paraId="6371F4CB">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eastAsia="zh-CN"/>
              </w:rPr>
            </w:pPr>
            <w:r>
              <w:rPr>
                <w:rFonts w:hint="eastAsia" w:ascii="仿宋_GB2312" w:hAnsi="仿宋_GB2312" w:eastAsia="仿宋_GB2312" w:cs="仿宋_GB2312"/>
                <w:snapToGrid w:val="0"/>
                <w:color w:val="auto"/>
                <w:spacing w:val="0"/>
                <w:kern w:val="0"/>
                <w:sz w:val="21"/>
                <w:szCs w:val="21"/>
                <w:lang w:eastAsia="zh-CN"/>
              </w:rPr>
              <w:t>行为良好信息</w:t>
            </w:r>
          </w:p>
        </w:tc>
        <w:tc>
          <w:tcPr>
            <w:tcW w:w="473" w:type="pct"/>
            <w:noWrap w:val="0"/>
            <w:tcMar>
              <w:top w:w="12" w:type="dxa"/>
              <w:left w:w="12" w:type="dxa"/>
              <w:right w:w="12" w:type="dxa"/>
            </w:tcMar>
            <w:vAlign w:val="center"/>
          </w:tcPr>
          <w:p w14:paraId="5CDFFE36">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国家级荣誉信息</w:t>
            </w:r>
          </w:p>
        </w:tc>
        <w:tc>
          <w:tcPr>
            <w:tcW w:w="2147" w:type="pct"/>
            <w:noWrap w:val="0"/>
            <w:tcMar>
              <w:top w:w="12" w:type="dxa"/>
              <w:left w:w="12" w:type="dxa"/>
              <w:right w:w="12" w:type="dxa"/>
            </w:tcMar>
            <w:vAlign w:val="center"/>
          </w:tcPr>
          <w:p w14:paraId="657DC712">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val="en-US" w:eastAsia="zh-CN"/>
              </w:rPr>
            </w:pPr>
            <w:r>
              <w:rPr>
                <w:rFonts w:hint="eastAsia" w:ascii="仿宋_GB2312" w:hAnsi="仿宋_GB2312" w:eastAsia="仿宋_GB2312" w:cs="仿宋_GB2312"/>
                <w:snapToGrid w:val="0"/>
                <w:color w:val="auto"/>
                <w:spacing w:val="0"/>
                <w:kern w:val="0"/>
                <w:sz w:val="21"/>
                <w:szCs w:val="21"/>
                <w:lang w:val="en-US" w:eastAsia="zh-CN"/>
              </w:rPr>
              <w:t>安评单位或</w:t>
            </w:r>
            <w:r>
              <w:rPr>
                <w:rFonts w:hint="eastAsia" w:ascii="仿宋_GB2312" w:hAnsi="仿宋_GB2312" w:eastAsia="仿宋_GB2312" w:cs="仿宋_GB2312"/>
                <w:snapToGrid w:val="0"/>
                <w:color w:val="auto"/>
                <w:spacing w:val="0"/>
                <w:kern w:val="0"/>
                <w:sz w:val="21"/>
                <w:szCs w:val="21"/>
                <w:lang w:val="en" w:eastAsia="zh-CN"/>
              </w:rPr>
              <w:t>全职</w:t>
            </w:r>
            <w:r>
              <w:rPr>
                <w:rFonts w:hint="eastAsia" w:ascii="仿宋_GB2312" w:hAnsi="仿宋_GB2312" w:eastAsia="仿宋_GB2312" w:cs="仿宋_GB2312"/>
                <w:snapToGrid w:val="0"/>
                <w:color w:val="auto"/>
                <w:spacing w:val="0"/>
                <w:kern w:val="0"/>
                <w:sz w:val="21"/>
                <w:szCs w:val="21"/>
                <w:lang w:val="en-US" w:eastAsia="zh-CN"/>
              </w:rPr>
              <w:t>人员</w:t>
            </w:r>
            <w:r>
              <w:rPr>
                <w:rFonts w:hint="eastAsia" w:ascii="仿宋_GB2312" w:hAnsi="仿宋_GB2312" w:eastAsia="仿宋_GB2312" w:cs="仿宋_GB2312"/>
                <w:snapToGrid w:val="0"/>
                <w:color w:val="auto"/>
                <w:spacing w:val="0"/>
                <w:kern w:val="0"/>
                <w:sz w:val="21"/>
                <w:szCs w:val="21"/>
              </w:rPr>
              <w:t>获得国家级相关通报表扬、奖励、表彰等</w:t>
            </w:r>
            <w:r>
              <w:rPr>
                <w:rFonts w:hint="eastAsia" w:ascii="仿宋_GB2312" w:hAnsi="仿宋_GB2312" w:eastAsia="仿宋_GB2312" w:cs="仿宋_GB2312"/>
                <w:snapToGrid w:val="0"/>
                <w:color w:val="auto"/>
                <w:spacing w:val="0"/>
                <w:kern w:val="0"/>
                <w:sz w:val="21"/>
                <w:szCs w:val="21"/>
                <w:lang w:eastAsia="zh-CN"/>
              </w:rPr>
              <w:t>，</w:t>
            </w:r>
            <w:r>
              <w:rPr>
                <w:rFonts w:hint="eastAsia" w:ascii="仿宋_GB2312" w:hAnsi="仿宋_GB2312" w:eastAsia="仿宋_GB2312" w:cs="仿宋_GB2312"/>
                <w:snapToGrid w:val="0"/>
                <w:color w:val="auto"/>
                <w:spacing w:val="0"/>
                <w:kern w:val="0"/>
                <w:sz w:val="21"/>
                <w:szCs w:val="21"/>
                <w:lang w:val="en-US" w:eastAsia="zh-CN"/>
              </w:rPr>
              <w:t>每次加3分，最多加6分</w:t>
            </w:r>
          </w:p>
        </w:tc>
        <w:tc>
          <w:tcPr>
            <w:tcW w:w="583" w:type="pct"/>
            <w:noWrap w:val="0"/>
            <w:tcMar>
              <w:top w:w="12" w:type="dxa"/>
              <w:left w:w="12" w:type="dxa"/>
              <w:right w:w="12" w:type="dxa"/>
            </w:tcMar>
            <w:vAlign w:val="center"/>
          </w:tcPr>
          <w:p w14:paraId="5946F5FB">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加3分</w:t>
            </w:r>
          </w:p>
        </w:tc>
        <w:tc>
          <w:tcPr>
            <w:tcW w:w="1175" w:type="pct"/>
            <w:vMerge w:val="restart"/>
            <w:noWrap w:val="0"/>
            <w:tcMar>
              <w:top w:w="12" w:type="dxa"/>
              <w:left w:w="12" w:type="dxa"/>
              <w:right w:w="12" w:type="dxa"/>
            </w:tcMar>
            <w:vAlign w:val="center"/>
          </w:tcPr>
          <w:p w14:paraId="3EAF6311">
            <w:pPr>
              <w:spacing w:line="280" w:lineRule="exact"/>
              <w:jc w:val="left"/>
              <w:rPr>
                <w:rFonts w:hint="eastAsia" w:ascii="仿宋_GB2312" w:hAnsi="仿宋_GB2312" w:eastAsia="仿宋_GB2312" w:cs="仿宋_GB2312"/>
                <w:snapToGrid w:val="0"/>
                <w:color w:val="auto"/>
                <w:spacing w:val="0"/>
                <w:kern w:val="0"/>
                <w:sz w:val="21"/>
                <w:szCs w:val="21"/>
                <w:lang w:val="en-US" w:eastAsia="zh-CN"/>
              </w:rPr>
            </w:pPr>
            <w:r>
              <w:rPr>
                <w:rFonts w:hint="eastAsia" w:ascii="仿宋_GB2312" w:hAnsi="仿宋_GB2312" w:eastAsia="仿宋_GB2312" w:cs="仿宋_GB2312"/>
                <w:snapToGrid w:val="0"/>
                <w:color w:val="auto"/>
                <w:spacing w:val="0"/>
                <w:kern w:val="0"/>
                <w:sz w:val="21"/>
                <w:szCs w:val="21"/>
              </w:rPr>
              <w:t>初次信用评价</w:t>
            </w:r>
            <w:r>
              <w:rPr>
                <w:rFonts w:hint="eastAsia" w:ascii="仿宋_GB2312" w:hAnsi="仿宋_GB2312" w:eastAsia="仿宋_GB2312" w:cs="仿宋_GB2312"/>
                <w:snapToGrid w:val="0"/>
                <w:color w:val="auto"/>
                <w:spacing w:val="0"/>
                <w:kern w:val="0"/>
                <w:sz w:val="21"/>
                <w:szCs w:val="21"/>
                <w:lang w:eastAsia="zh-CN"/>
              </w:rPr>
              <w:t>采用</w:t>
            </w:r>
            <w:r>
              <w:rPr>
                <w:rFonts w:hint="eastAsia" w:ascii="仿宋_GB2312" w:hAnsi="仿宋_GB2312" w:eastAsia="仿宋_GB2312" w:cs="仿宋_GB2312"/>
                <w:snapToGrid w:val="0"/>
                <w:color w:val="auto"/>
                <w:spacing w:val="0"/>
                <w:kern w:val="0"/>
                <w:sz w:val="21"/>
                <w:szCs w:val="21"/>
              </w:rPr>
              <w:t>最近3年</w:t>
            </w:r>
            <w:r>
              <w:rPr>
                <w:rFonts w:hint="eastAsia" w:ascii="仿宋_GB2312" w:hAnsi="仿宋_GB2312" w:eastAsia="仿宋_GB2312" w:cs="仿宋_GB2312"/>
                <w:snapToGrid w:val="0"/>
                <w:color w:val="auto"/>
                <w:spacing w:val="0"/>
                <w:kern w:val="0"/>
                <w:sz w:val="21"/>
                <w:szCs w:val="21"/>
                <w:lang w:eastAsia="zh-CN"/>
              </w:rPr>
              <w:t>的荣誉</w:t>
            </w:r>
            <w:r>
              <w:rPr>
                <w:rFonts w:hint="eastAsia" w:ascii="仿宋_GB2312" w:hAnsi="仿宋_GB2312" w:eastAsia="仿宋_GB2312" w:cs="仿宋_GB2312"/>
                <w:snapToGrid w:val="0"/>
                <w:color w:val="auto"/>
                <w:spacing w:val="0"/>
                <w:kern w:val="0"/>
                <w:sz w:val="21"/>
                <w:szCs w:val="21"/>
              </w:rPr>
              <w:t>信息</w:t>
            </w:r>
            <w:r>
              <w:rPr>
                <w:rFonts w:hint="eastAsia" w:ascii="仿宋_GB2312" w:hAnsi="仿宋_GB2312" w:eastAsia="仿宋_GB2312" w:cs="仿宋_GB2312"/>
                <w:snapToGrid w:val="0"/>
                <w:color w:val="auto"/>
                <w:spacing w:val="0"/>
                <w:kern w:val="0"/>
                <w:sz w:val="21"/>
                <w:szCs w:val="21"/>
                <w:lang w:eastAsia="zh-CN"/>
              </w:rPr>
              <w:t>，</w:t>
            </w:r>
            <w:r>
              <w:rPr>
                <w:rFonts w:hint="eastAsia" w:ascii="仿宋_GB2312" w:hAnsi="仿宋_GB2312" w:eastAsia="仿宋_GB2312" w:cs="仿宋_GB2312"/>
                <w:snapToGrid w:val="0"/>
                <w:color w:val="auto"/>
                <w:spacing w:val="0"/>
                <w:kern w:val="0"/>
                <w:sz w:val="21"/>
                <w:szCs w:val="21"/>
              </w:rPr>
              <w:t>年度信用评价和</w:t>
            </w:r>
            <w:r>
              <w:rPr>
                <w:rFonts w:hint="eastAsia" w:ascii="仿宋_GB2312" w:hAnsi="仿宋_GB2312" w:eastAsia="仿宋_GB2312" w:cs="仿宋_GB2312"/>
                <w:snapToGrid w:val="0"/>
                <w:color w:val="auto"/>
                <w:spacing w:val="0"/>
                <w:kern w:val="0"/>
                <w:sz w:val="21"/>
                <w:szCs w:val="21"/>
                <w:lang w:eastAsia="zh-CN"/>
              </w:rPr>
              <w:t>动态信用评价采用近一年度的荣誉</w:t>
            </w:r>
            <w:r>
              <w:rPr>
                <w:rFonts w:hint="eastAsia" w:ascii="仿宋_GB2312" w:hAnsi="仿宋_GB2312" w:eastAsia="仿宋_GB2312" w:cs="仿宋_GB2312"/>
                <w:snapToGrid w:val="0"/>
                <w:color w:val="auto"/>
                <w:spacing w:val="0"/>
                <w:kern w:val="0"/>
                <w:sz w:val="21"/>
                <w:szCs w:val="21"/>
              </w:rPr>
              <w:t>信息</w:t>
            </w:r>
            <w:r>
              <w:rPr>
                <w:rFonts w:hint="eastAsia" w:ascii="仿宋_GB2312" w:hAnsi="仿宋_GB2312" w:eastAsia="仿宋_GB2312" w:cs="仿宋_GB2312"/>
                <w:snapToGrid w:val="0"/>
                <w:color w:val="auto"/>
                <w:spacing w:val="0"/>
                <w:kern w:val="0"/>
                <w:sz w:val="21"/>
                <w:szCs w:val="21"/>
                <w:lang w:eastAsia="zh-CN"/>
              </w:rPr>
              <w:t>，均</w:t>
            </w:r>
            <w:r>
              <w:rPr>
                <w:rFonts w:hint="eastAsia" w:ascii="仿宋_GB2312" w:hAnsi="仿宋_GB2312" w:eastAsia="仿宋_GB2312" w:cs="仿宋_GB2312"/>
                <w:snapToGrid w:val="0"/>
                <w:color w:val="auto"/>
                <w:spacing w:val="0"/>
                <w:kern w:val="0"/>
                <w:sz w:val="21"/>
                <w:szCs w:val="21"/>
              </w:rPr>
              <w:t>以发文时间为准。同一</w:t>
            </w:r>
            <w:r>
              <w:rPr>
                <w:rFonts w:hint="eastAsia" w:ascii="仿宋_GB2312" w:hAnsi="仿宋_GB2312" w:eastAsia="仿宋_GB2312" w:cs="仿宋_GB2312"/>
                <w:snapToGrid w:val="0"/>
                <w:color w:val="auto"/>
                <w:spacing w:val="0"/>
                <w:kern w:val="0"/>
                <w:sz w:val="21"/>
                <w:szCs w:val="21"/>
                <w:lang w:eastAsia="zh-CN"/>
              </w:rPr>
              <w:t>荣誉信息</w:t>
            </w:r>
            <w:r>
              <w:rPr>
                <w:rFonts w:hint="eastAsia" w:ascii="仿宋_GB2312" w:hAnsi="仿宋_GB2312" w:eastAsia="仿宋_GB2312" w:cs="仿宋_GB2312"/>
                <w:snapToGrid w:val="0"/>
                <w:color w:val="auto"/>
                <w:spacing w:val="0"/>
                <w:kern w:val="0"/>
                <w:sz w:val="21"/>
                <w:szCs w:val="21"/>
              </w:rPr>
              <w:t>不重复加分。</w:t>
            </w:r>
            <w:r>
              <w:rPr>
                <w:rFonts w:hint="eastAsia" w:ascii="仿宋_GB2312" w:hAnsi="仿宋_GB2312" w:eastAsia="仿宋_GB2312" w:cs="仿宋_GB2312"/>
                <w:snapToGrid w:val="0"/>
                <w:color w:val="auto"/>
                <w:spacing w:val="0"/>
                <w:kern w:val="0"/>
                <w:sz w:val="21"/>
                <w:szCs w:val="21"/>
                <w:lang w:val="en-US" w:eastAsia="zh-CN"/>
              </w:rPr>
              <w:t>如取消单位/个人荣誉或获奖人员离职，动态扣减相应分值。</w:t>
            </w:r>
          </w:p>
        </w:tc>
      </w:tr>
      <w:tr w14:paraId="6BF5A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5A9DB47C">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 w:eastAsia="zh-CN"/>
              </w:rPr>
            </w:pPr>
            <w:r>
              <w:rPr>
                <w:rFonts w:hint="eastAsia" w:ascii="仿宋_GB2312" w:hAnsi="仿宋_GB2312" w:eastAsia="仿宋_GB2312" w:cs="仿宋_GB2312"/>
                <w:snapToGrid w:val="0"/>
                <w:color w:val="auto"/>
                <w:spacing w:val="0"/>
                <w:kern w:val="0"/>
                <w:sz w:val="21"/>
                <w:szCs w:val="21"/>
                <w:lang w:val="en" w:eastAsia="zh-CN"/>
              </w:rPr>
              <w:t>6</w:t>
            </w:r>
          </w:p>
        </w:tc>
        <w:tc>
          <w:tcPr>
            <w:tcW w:w="318" w:type="pct"/>
            <w:vMerge w:val="continue"/>
            <w:noWrap w:val="0"/>
            <w:tcMar>
              <w:top w:w="12" w:type="dxa"/>
              <w:left w:w="12" w:type="dxa"/>
              <w:right w:w="12" w:type="dxa"/>
            </w:tcMar>
            <w:vAlign w:val="center"/>
          </w:tcPr>
          <w:p w14:paraId="1269F82C">
            <w:pPr>
              <w:spacing w:line="320" w:lineRule="exact"/>
              <w:jc w:val="center"/>
              <w:rPr>
                <w:rFonts w:hint="eastAsia" w:ascii="仿宋_GB2312" w:hAnsi="仿宋_GB2312" w:eastAsia="仿宋_GB2312" w:cs="仿宋_GB2312"/>
                <w:snapToGrid w:val="0"/>
                <w:color w:val="auto"/>
                <w:spacing w:val="0"/>
                <w:kern w:val="0"/>
                <w:sz w:val="21"/>
                <w:szCs w:val="21"/>
              </w:rPr>
            </w:pPr>
          </w:p>
        </w:tc>
        <w:tc>
          <w:tcPr>
            <w:tcW w:w="473" w:type="pct"/>
            <w:noWrap w:val="0"/>
            <w:tcMar>
              <w:top w:w="12" w:type="dxa"/>
              <w:left w:w="12" w:type="dxa"/>
              <w:right w:w="12" w:type="dxa"/>
            </w:tcMar>
            <w:vAlign w:val="center"/>
          </w:tcPr>
          <w:p w14:paraId="7776325B">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省部级荣誉信息</w:t>
            </w:r>
          </w:p>
        </w:tc>
        <w:tc>
          <w:tcPr>
            <w:tcW w:w="2147" w:type="pct"/>
            <w:noWrap w:val="0"/>
            <w:tcMar>
              <w:top w:w="12" w:type="dxa"/>
              <w:left w:w="12" w:type="dxa"/>
              <w:right w:w="12" w:type="dxa"/>
            </w:tcMar>
            <w:vAlign w:val="center"/>
          </w:tcPr>
          <w:p w14:paraId="6299FCFF">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eastAsia="zh-CN"/>
              </w:rPr>
            </w:pPr>
            <w:r>
              <w:rPr>
                <w:rFonts w:hint="eastAsia" w:ascii="仿宋_GB2312" w:hAnsi="仿宋_GB2312" w:eastAsia="仿宋_GB2312" w:cs="仿宋_GB2312"/>
                <w:snapToGrid w:val="0"/>
                <w:color w:val="auto"/>
                <w:spacing w:val="0"/>
                <w:kern w:val="0"/>
                <w:sz w:val="21"/>
                <w:szCs w:val="21"/>
                <w:lang w:val="en-US" w:eastAsia="zh-CN"/>
              </w:rPr>
              <w:t>安评单位或</w:t>
            </w:r>
            <w:r>
              <w:rPr>
                <w:rFonts w:hint="eastAsia" w:ascii="仿宋_GB2312" w:hAnsi="仿宋_GB2312" w:eastAsia="仿宋_GB2312" w:cs="仿宋_GB2312"/>
                <w:snapToGrid w:val="0"/>
                <w:color w:val="auto"/>
                <w:spacing w:val="0"/>
                <w:kern w:val="0"/>
                <w:sz w:val="21"/>
                <w:szCs w:val="21"/>
                <w:lang w:val="en" w:eastAsia="zh-CN"/>
              </w:rPr>
              <w:t>全职</w:t>
            </w:r>
            <w:r>
              <w:rPr>
                <w:rFonts w:hint="eastAsia" w:ascii="仿宋_GB2312" w:hAnsi="仿宋_GB2312" w:eastAsia="仿宋_GB2312" w:cs="仿宋_GB2312"/>
                <w:snapToGrid w:val="0"/>
                <w:color w:val="auto"/>
                <w:spacing w:val="0"/>
                <w:kern w:val="0"/>
                <w:sz w:val="21"/>
                <w:szCs w:val="21"/>
                <w:lang w:val="en-US" w:eastAsia="zh-CN"/>
              </w:rPr>
              <w:t>人员</w:t>
            </w:r>
            <w:r>
              <w:rPr>
                <w:rFonts w:hint="eastAsia" w:ascii="仿宋_GB2312" w:hAnsi="仿宋_GB2312" w:eastAsia="仿宋_GB2312" w:cs="仿宋_GB2312"/>
                <w:snapToGrid w:val="0"/>
                <w:color w:val="auto"/>
                <w:spacing w:val="0"/>
                <w:kern w:val="0"/>
                <w:sz w:val="21"/>
                <w:szCs w:val="21"/>
              </w:rPr>
              <w:t>获得省部级相关通报表扬、奖励、表彰等</w:t>
            </w:r>
            <w:r>
              <w:rPr>
                <w:rFonts w:hint="eastAsia" w:ascii="仿宋_GB2312" w:hAnsi="仿宋_GB2312" w:eastAsia="仿宋_GB2312" w:cs="仿宋_GB2312"/>
                <w:snapToGrid w:val="0"/>
                <w:color w:val="auto"/>
                <w:spacing w:val="0"/>
                <w:kern w:val="0"/>
                <w:sz w:val="21"/>
                <w:szCs w:val="21"/>
                <w:lang w:eastAsia="zh-CN"/>
              </w:rPr>
              <w:t>，</w:t>
            </w:r>
            <w:r>
              <w:rPr>
                <w:rFonts w:hint="eastAsia" w:ascii="仿宋_GB2312" w:hAnsi="仿宋_GB2312" w:eastAsia="仿宋_GB2312" w:cs="仿宋_GB2312"/>
                <w:snapToGrid w:val="0"/>
                <w:color w:val="auto"/>
                <w:spacing w:val="0"/>
                <w:kern w:val="0"/>
                <w:sz w:val="21"/>
                <w:szCs w:val="21"/>
                <w:lang w:val="en-US" w:eastAsia="zh-CN"/>
              </w:rPr>
              <w:t>每次加2分，最多加6分</w:t>
            </w:r>
          </w:p>
        </w:tc>
        <w:tc>
          <w:tcPr>
            <w:tcW w:w="583" w:type="pct"/>
            <w:noWrap w:val="0"/>
            <w:tcMar>
              <w:top w:w="12" w:type="dxa"/>
              <w:left w:w="12" w:type="dxa"/>
              <w:right w:w="12" w:type="dxa"/>
            </w:tcMar>
            <w:vAlign w:val="center"/>
          </w:tcPr>
          <w:p w14:paraId="64873EB8">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加2分</w:t>
            </w:r>
          </w:p>
        </w:tc>
        <w:tc>
          <w:tcPr>
            <w:tcW w:w="1175" w:type="pct"/>
            <w:vMerge w:val="continue"/>
            <w:noWrap w:val="0"/>
            <w:tcMar>
              <w:top w:w="12" w:type="dxa"/>
              <w:left w:w="12" w:type="dxa"/>
              <w:right w:w="12" w:type="dxa"/>
            </w:tcMar>
            <w:vAlign w:val="center"/>
          </w:tcPr>
          <w:p w14:paraId="1221E98D">
            <w:pPr>
              <w:spacing w:line="320" w:lineRule="exact"/>
              <w:jc w:val="left"/>
              <w:rPr>
                <w:rFonts w:hint="eastAsia" w:ascii="仿宋_GB2312" w:hAnsi="仿宋_GB2312" w:eastAsia="仿宋_GB2312" w:cs="仿宋_GB2312"/>
                <w:snapToGrid w:val="0"/>
                <w:color w:val="auto"/>
                <w:spacing w:val="0"/>
                <w:kern w:val="0"/>
                <w:sz w:val="21"/>
                <w:szCs w:val="21"/>
              </w:rPr>
            </w:pPr>
          </w:p>
        </w:tc>
      </w:tr>
      <w:tr w14:paraId="1B263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2E3C9FC9">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 w:eastAsia="zh-CN"/>
              </w:rPr>
            </w:pPr>
            <w:r>
              <w:rPr>
                <w:rFonts w:hint="eastAsia" w:ascii="仿宋_GB2312" w:hAnsi="仿宋_GB2312" w:eastAsia="仿宋_GB2312" w:cs="仿宋_GB2312"/>
                <w:snapToGrid w:val="0"/>
                <w:color w:val="auto"/>
                <w:spacing w:val="0"/>
                <w:kern w:val="0"/>
                <w:sz w:val="21"/>
                <w:szCs w:val="21"/>
                <w:lang w:val="en" w:eastAsia="zh-CN"/>
              </w:rPr>
              <w:t>7</w:t>
            </w:r>
          </w:p>
        </w:tc>
        <w:tc>
          <w:tcPr>
            <w:tcW w:w="318" w:type="pct"/>
            <w:vMerge w:val="continue"/>
            <w:noWrap w:val="0"/>
            <w:tcMar>
              <w:top w:w="12" w:type="dxa"/>
              <w:left w:w="12" w:type="dxa"/>
              <w:right w:w="12" w:type="dxa"/>
            </w:tcMar>
            <w:vAlign w:val="center"/>
          </w:tcPr>
          <w:p w14:paraId="7A79CA00">
            <w:pPr>
              <w:spacing w:line="320" w:lineRule="exact"/>
              <w:jc w:val="center"/>
              <w:rPr>
                <w:rFonts w:hint="eastAsia" w:ascii="仿宋_GB2312" w:hAnsi="仿宋_GB2312" w:eastAsia="仿宋_GB2312" w:cs="仿宋_GB2312"/>
                <w:snapToGrid w:val="0"/>
                <w:color w:val="auto"/>
                <w:spacing w:val="0"/>
                <w:kern w:val="0"/>
                <w:sz w:val="21"/>
                <w:szCs w:val="21"/>
              </w:rPr>
            </w:pPr>
          </w:p>
        </w:tc>
        <w:tc>
          <w:tcPr>
            <w:tcW w:w="473" w:type="pct"/>
            <w:noWrap w:val="0"/>
            <w:tcMar>
              <w:top w:w="12" w:type="dxa"/>
              <w:left w:w="12" w:type="dxa"/>
              <w:right w:w="12" w:type="dxa"/>
            </w:tcMar>
            <w:vAlign w:val="center"/>
          </w:tcPr>
          <w:p w14:paraId="09896F7E">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val="en-US" w:eastAsia="zh-CN"/>
              </w:rPr>
            </w:pPr>
            <w:r>
              <w:rPr>
                <w:rFonts w:hint="eastAsia" w:ascii="仿宋_GB2312" w:hAnsi="仿宋_GB2312" w:eastAsia="仿宋_GB2312" w:cs="仿宋_GB2312"/>
                <w:snapToGrid w:val="0"/>
                <w:color w:val="auto"/>
                <w:spacing w:val="0"/>
                <w:kern w:val="0"/>
                <w:sz w:val="21"/>
                <w:szCs w:val="21"/>
                <w:lang w:val="en-US" w:eastAsia="zh-CN"/>
              </w:rPr>
              <w:t>报告质量</w:t>
            </w:r>
          </w:p>
        </w:tc>
        <w:tc>
          <w:tcPr>
            <w:tcW w:w="2147" w:type="pct"/>
            <w:noWrap w:val="0"/>
            <w:tcMar>
              <w:top w:w="12" w:type="dxa"/>
              <w:left w:w="12" w:type="dxa"/>
              <w:right w:w="12" w:type="dxa"/>
            </w:tcMar>
            <w:vAlign w:val="center"/>
          </w:tcPr>
          <w:p w14:paraId="7B491289">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地震安全性评价报告经一次修改即通过技术审查的，一个报告加</w:t>
            </w:r>
            <w:r>
              <w:rPr>
                <w:rFonts w:hint="eastAsia" w:ascii="仿宋_GB2312" w:hAnsi="仿宋_GB2312" w:eastAsia="仿宋_GB2312" w:cs="仿宋_GB2312"/>
                <w:snapToGrid w:val="0"/>
                <w:color w:val="auto"/>
                <w:spacing w:val="0"/>
                <w:kern w:val="0"/>
                <w:sz w:val="21"/>
                <w:szCs w:val="21"/>
                <w:lang w:val="en"/>
              </w:rPr>
              <w:t>1</w:t>
            </w:r>
            <w:r>
              <w:rPr>
                <w:rFonts w:hint="eastAsia" w:ascii="仿宋_GB2312" w:hAnsi="仿宋_GB2312" w:eastAsia="仿宋_GB2312" w:cs="仿宋_GB2312"/>
                <w:snapToGrid w:val="0"/>
                <w:color w:val="auto"/>
                <w:spacing w:val="0"/>
                <w:kern w:val="0"/>
                <w:sz w:val="21"/>
                <w:szCs w:val="21"/>
              </w:rPr>
              <w:t>分，最多加</w:t>
            </w:r>
            <w:r>
              <w:rPr>
                <w:rFonts w:hint="eastAsia" w:ascii="仿宋_GB2312" w:hAnsi="仿宋_GB2312" w:eastAsia="仿宋_GB2312" w:cs="仿宋_GB2312"/>
                <w:snapToGrid w:val="0"/>
                <w:color w:val="auto"/>
                <w:spacing w:val="0"/>
                <w:kern w:val="0"/>
                <w:sz w:val="21"/>
                <w:szCs w:val="21"/>
                <w:lang w:val="en-US" w:eastAsia="zh-CN"/>
              </w:rPr>
              <w:t>8</w:t>
            </w:r>
            <w:r>
              <w:rPr>
                <w:rFonts w:hint="eastAsia" w:ascii="仿宋_GB2312" w:hAnsi="仿宋_GB2312" w:eastAsia="仿宋_GB2312" w:cs="仿宋_GB2312"/>
                <w:snapToGrid w:val="0"/>
                <w:color w:val="auto"/>
                <w:spacing w:val="0"/>
                <w:kern w:val="0"/>
                <w:sz w:val="21"/>
                <w:szCs w:val="21"/>
              </w:rPr>
              <w:t>分</w:t>
            </w:r>
          </w:p>
        </w:tc>
        <w:tc>
          <w:tcPr>
            <w:tcW w:w="583" w:type="pct"/>
            <w:noWrap w:val="0"/>
            <w:tcMar>
              <w:top w:w="12" w:type="dxa"/>
              <w:left w:w="12" w:type="dxa"/>
              <w:right w:w="12" w:type="dxa"/>
            </w:tcMar>
            <w:vAlign w:val="center"/>
          </w:tcPr>
          <w:p w14:paraId="32583AA4">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加</w:t>
            </w:r>
            <w:r>
              <w:rPr>
                <w:rFonts w:hint="eastAsia" w:ascii="仿宋_GB2312" w:hAnsi="仿宋_GB2312" w:eastAsia="仿宋_GB2312" w:cs="仿宋_GB2312"/>
                <w:snapToGrid w:val="0"/>
                <w:color w:val="auto"/>
                <w:spacing w:val="0"/>
                <w:kern w:val="0"/>
                <w:sz w:val="21"/>
                <w:szCs w:val="21"/>
                <w:lang w:val="en-US" w:eastAsia="zh-CN"/>
              </w:rPr>
              <w:t>1</w:t>
            </w:r>
            <w:r>
              <w:rPr>
                <w:rFonts w:hint="eastAsia" w:ascii="仿宋_GB2312" w:hAnsi="仿宋_GB2312" w:eastAsia="仿宋_GB2312" w:cs="仿宋_GB2312"/>
                <w:snapToGrid w:val="0"/>
                <w:color w:val="auto"/>
                <w:spacing w:val="0"/>
                <w:kern w:val="0"/>
                <w:sz w:val="21"/>
                <w:szCs w:val="21"/>
              </w:rPr>
              <w:t>分</w:t>
            </w:r>
          </w:p>
        </w:tc>
        <w:tc>
          <w:tcPr>
            <w:tcW w:w="1175" w:type="pct"/>
            <w:noWrap w:val="0"/>
            <w:tcMar>
              <w:top w:w="12" w:type="dxa"/>
              <w:left w:w="12" w:type="dxa"/>
              <w:right w:w="12" w:type="dxa"/>
            </w:tcMar>
            <w:vAlign w:val="center"/>
          </w:tcPr>
          <w:p w14:paraId="4813C293">
            <w:pPr>
              <w:spacing w:line="320" w:lineRule="exact"/>
              <w:jc w:val="left"/>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一次修改即通过技术审查是指：对报告开展技术审查后，评审专家同意报告“通过评审”或者“修改后通过评审”。</w:t>
            </w:r>
            <w:r>
              <w:rPr>
                <w:rFonts w:hint="eastAsia" w:ascii="仿宋_GB2312" w:hAnsi="仿宋_GB2312" w:eastAsia="仿宋_GB2312" w:cs="仿宋_GB2312"/>
                <w:snapToGrid w:val="0"/>
                <w:color w:val="auto"/>
                <w:spacing w:val="0"/>
                <w:kern w:val="0"/>
                <w:sz w:val="21"/>
                <w:szCs w:val="21"/>
                <w:lang w:eastAsia="zh-CN"/>
              </w:rPr>
              <w:t>安评</w:t>
            </w:r>
            <w:r>
              <w:rPr>
                <w:rFonts w:hint="eastAsia" w:ascii="仿宋_GB2312" w:hAnsi="仿宋_GB2312" w:eastAsia="仿宋_GB2312" w:cs="仿宋_GB2312"/>
                <w:snapToGrid w:val="0"/>
                <w:color w:val="auto"/>
                <w:spacing w:val="0"/>
                <w:kern w:val="0"/>
                <w:sz w:val="21"/>
                <w:szCs w:val="21"/>
              </w:rPr>
              <w:t>单位根据专家组的意见对报告进行修改，专家组对修改后的报告没有再提出其他修改意见，并同意通过技术审查。</w:t>
            </w:r>
          </w:p>
        </w:tc>
      </w:tr>
      <w:tr w14:paraId="61528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1059DF3B">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 w:eastAsia="zh-CN" w:bidi="ar-SA"/>
              </w:rPr>
            </w:pPr>
            <w:r>
              <w:rPr>
                <w:rFonts w:hint="eastAsia" w:ascii="仿宋_GB2312" w:hAnsi="仿宋_GB2312" w:eastAsia="仿宋_GB2312" w:cs="仿宋_GB2312"/>
                <w:snapToGrid w:val="0"/>
                <w:color w:val="auto"/>
                <w:spacing w:val="0"/>
                <w:kern w:val="0"/>
                <w:sz w:val="21"/>
                <w:szCs w:val="21"/>
                <w:lang w:val="en" w:eastAsia="zh-CN" w:bidi="ar-SA"/>
              </w:rPr>
              <w:t>8</w:t>
            </w:r>
          </w:p>
        </w:tc>
        <w:tc>
          <w:tcPr>
            <w:tcW w:w="318" w:type="pct"/>
            <w:vMerge w:val="continue"/>
            <w:noWrap w:val="0"/>
            <w:tcMar>
              <w:top w:w="12" w:type="dxa"/>
              <w:left w:w="12" w:type="dxa"/>
              <w:right w:w="12" w:type="dxa"/>
            </w:tcMar>
            <w:vAlign w:val="center"/>
          </w:tcPr>
          <w:p w14:paraId="519112B2">
            <w:pPr>
              <w:spacing w:line="320" w:lineRule="exact"/>
              <w:jc w:val="center"/>
              <w:rPr>
                <w:rFonts w:hint="eastAsia" w:ascii="仿宋_GB2312" w:hAnsi="仿宋_GB2312" w:eastAsia="仿宋_GB2312" w:cs="仿宋_GB2312"/>
                <w:snapToGrid w:val="0"/>
                <w:color w:val="auto"/>
                <w:spacing w:val="0"/>
                <w:kern w:val="0"/>
                <w:sz w:val="21"/>
                <w:szCs w:val="21"/>
              </w:rPr>
            </w:pPr>
          </w:p>
        </w:tc>
        <w:tc>
          <w:tcPr>
            <w:tcW w:w="473" w:type="pct"/>
            <w:vMerge w:val="restart"/>
            <w:noWrap w:val="0"/>
            <w:tcMar>
              <w:top w:w="12" w:type="dxa"/>
              <w:left w:w="12" w:type="dxa"/>
              <w:right w:w="12" w:type="dxa"/>
            </w:tcMar>
            <w:vAlign w:val="center"/>
          </w:tcPr>
          <w:p w14:paraId="07AB9B88">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val="en-US" w:eastAsia="zh-CN"/>
              </w:rPr>
            </w:pPr>
            <w:r>
              <w:rPr>
                <w:rFonts w:hint="eastAsia" w:ascii="仿宋_GB2312" w:hAnsi="仿宋_GB2312" w:eastAsia="仿宋_GB2312" w:cs="仿宋_GB2312"/>
                <w:snapToGrid w:val="0"/>
                <w:color w:val="auto"/>
                <w:spacing w:val="0"/>
                <w:kern w:val="0"/>
                <w:sz w:val="21"/>
                <w:szCs w:val="21"/>
                <w:lang w:val="en-US" w:eastAsia="zh-CN"/>
              </w:rPr>
              <w:t>配合监管</w:t>
            </w:r>
          </w:p>
        </w:tc>
        <w:tc>
          <w:tcPr>
            <w:tcW w:w="2147" w:type="pct"/>
            <w:noWrap w:val="0"/>
            <w:tcMar>
              <w:top w:w="12" w:type="dxa"/>
              <w:left w:w="12" w:type="dxa"/>
              <w:right w:w="12" w:type="dxa"/>
            </w:tcMar>
            <w:vAlign w:val="center"/>
          </w:tcPr>
          <w:p w14:paraId="4A8E1A8B">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bidi="ar-SA"/>
              </w:rPr>
              <w:t>安评单位及时向项目所在地省级地震局报告项目承揽信息，并提交安评报告编制工作方案的，每次加0.5分，最多加2.5分</w:t>
            </w:r>
          </w:p>
        </w:tc>
        <w:tc>
          <w:tcPr>
            <w:tcW w:w="583" w:type="pct"/>
            <w:noWrap w:val="0"/>
            <w:tcMar>
              <w:top w:w="12" w:type="dxa"/>
              <w:left w:w="12" w:type="dxa"/>
              <w:right w:w="12" w:type="dxa"/>
            </w:tcMar>
            <w:vAlign w:val="center"/>
          </w:tcPr>
          <w:p w14:paraId="0B580012">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rPr>
              <w:t>加0.5分</w:t>
            </w:r>
          </w:p>
        </w:tc>
        <w:tc>
          <w:tcPr>
            <w:tcW w:w="1175" w:type="pct"/>
            <w:noWrap w:val="0"/>
            <w:tcMar>
              <w:top w:w="12" w:type="dxa"/>
              <w:left w:w="12" w:type="dxa"/>
              <w:right w:w="12" w:type="dxa"/>
            </w:tcMar>
            <w:vAlign w:val="center"/>
          </w:tcPr>
          <w:p w14:paraId="03F2AF44">
            <w:pPr>
              <w:spacing w:line="320" w:lineRule="exact"/>
              <w:jc w:val="left"/>
              <w:rPr>
                <w:rFonts w:hint="eastAsia" w:ascii="仿宋_GB2312" w:hAnsi="仿宋_GB2312" w:eastAsia="仿宋_GB2312" w:cs="仿宋_GB2312"/>
                <w:snapToGrid w:val="0"/>
                <w:color w:val="auto"/>
                <w:spacing w:val="0"/>
                <w:kern w:val="0"/>
                <w:sz w:val="21"/>
                <w:szCs w:val="21"/>
              </w:rPr>
            </w:pPr>
          </w:p>
        </w:tc>
      </w:tr>
      <w:tr w14:paraId="44895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28436BE1">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
              </w:rPr>
            </w:pPr>
            <w:r>
              <w:rPr>
                <w:rFonts w:hint="eastAsia" w:ascii="仿宋_GB2312" w:hAnsi="仿宋_GB2312" w:eastAsia="仿宋_GB2312" w:cs="仿宋_GB2312"/>
                <w:snapToGrid w:val="0"/>
                <w:color w:val="auto"/>
                <w:spacing w:val="0"/>
                <w:kern w:val="0"/>
                <w:sz w:val="21"/>
                <w:szCs w:val="21"/>
                <w:lang w:val="en"/>
              </w:rPr>
              <w:t>9</w:t>
            </w:r>
          </w:p>
        </w:tc>
        <w:tc>
          <w:tcPr>
            <w:tcW w:w="318" w:type="pct"/>
            <w:vMerge w:val="continue"/>
            <w:noWrap w:val="0"/>
            <w:tcMar>
              <w:top w:w="12" w:type="dxa"/>
              <w:left w:w="12" w:type="dxa"/>
              <w:right w:w="12" w:type="dxa"/>
            </w:tcMar>
            <w:vAlign w:val="center"/>
          </w:tcPr>
          <w:p w14:paraId="70FB6E73">
            <w:pPr>
              <w:spacing w:line="320" w:lineRule="exact"/>
              <w:jc w:val="center"/>
              <w:rPr>
                <w:rFonts w:hint="eastAsia" w:ascii="仿宋_GB2312" w:hAnsi="仿宋_GB2312" w:eastAsia="仿宋_GB2312" w:cs="仿宋_GB2312"/>
                <w:snapToGrid w:val="0"/>
                <w:color w:val="auto"/>
                <w:spacing w:val="0"/>
                <w:kern w:val="0"/>
                <w:sz w:val="21"/>
                <w:szCs w:val="21"/>
              </w:rPr>
            </w:pPr>
          </w:p>
        </w:tc>
        <w:tc>
          <w:tcPr>
            <w:tcW w:w="473" w:type="pct"/>
            <w:vMerge w:val="continue"/>
            <w:noWrap w:val="0"/>
            <w:tcMar>
              <w:top w:w="12" w:type="dxa"/>
              <w:left w:w="12" w:type="dxa"/>
              <w:right w:w="12" w:type="dxa"/>
            </w:tcMar>
            <w:vAlign w:val="center"/>
          </w:tcPr>
          <w:p w14:paraId="28C39D91">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p>
        </w:tc>
        <w:tc>
          <w:tcPr>
            <w:tcW w:w="2147" w:type="pct"/>
            <w:noWrap w:val="0"/>
            <w:tcMar>
              <w:top w:w="12" w:type="dxa"/>
              <w:left w:w="12" w:type="dxa"/>
              <w:right w:w="12" w:type="dxa"/>
            </w:tcMar>
            <w:vAlign w:val="center"/>
          </w:tcPr>
          <w:p w14:paraId="14823D76">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rPr>
              <w:t>安评单位主动配合接受各级地震部门对于地震安全性评价工作现场检查的，每次加0.5分，最多加2.5分</w:t>
            </w:r>
          </w:p>
        </w:tc>
        <w:tc>
          <w:tcPr>
            <w:tcW w:w="583" w:type="pct"/>
            <w:noWrap w:val="0"/>
            <w:tcMar>
              <w:top w:w="12" w:type="dxa"/>
              <w:left w:w="12" w:type="dxa"/>
              <w:right w:w="12" w:type="dxa"/>
            </w:tcMar>
            <w:vAlign w:val="center"/>
          </w:tcPr>
          <w:p w14:paraId="461384FA">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rPr>
              <w:t>加0.5分</w:t>
            </w:r>
          </w:p>
        </w:tc>
        <w:tc>
          <w:tcPr>
            <w:tcW w:w="1175" w:type="pct"/>
            <w:noWrap w:val="0"/>
            <w:tcMar>
              <w:top w:w="12" w:type="dxa"/>
              <w:left w:w="12" w:type="dxa"/>
              <w:right w:w="12" w:type="dxa"/>
            </w:tcMar>
            <w:vAlign w:val="center"/>
          </w:tcPr>
          <w:p w14:paraId="7CD012ED">
            <w:pPr>
              <w:spacing w:line="320" w:lineRule="exact"/>
              <w:jc w:val="left"/>
              <w:rPr>
                <w:rFonts w:hint="eastAsia" w:ascii="仿宋_GB2312" w:hAnsi="仿宋_GB2312" w:eastAsia="仿宋_GB2312" w:cs="仿宋_GB2312"/>
                <w:snapToGrid w:val="0"/>
                <w:color w:val="auto"/>
                <w:spacing w:val="0"/>
                <w:kern w:val="0"/>
                <w:sz w:val="21"/>
                <w:szCs w:val="21"/>
              </w:rPr>
            </w:pPr>
          </w:p>
        </w:tc>
      </w:tr>
      <w:tr w14:paraId="5B90A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753675C3">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10</w:t>
            </w:r>
          </w:p>
        </w:tc>
        <w:tc>
          <w:tcPr>
            <w:tcW w:w="318" w:type="pct"/>
            <w:vMerge w:val="continue"/>
            <w:noWrap w:val="0"/>
            <w:tcMar>
              <w:top w:w="12" w:type="dxa"/>
              <w:left w:w="12" w:type="dxa"/>
              <w:right w:w="12" w:type="dxa"/>
            </w:tcMar>
            <w:vAlign w:val="center"/>
          </w:tcPr>
          <w:p w14:paraId="164AB4AA">
            <w:pPr>
              <w:spacing w:line="320" w:lineRule="exact"/>
              <w:jc w:val="center"/>
              <w:rPr>
                <w:rFonts w:hint="eastAsia" w:ascii="仿宋_GB2312" w:hAnsi="仿宋_GB2312" w:eastAsia="仿宋_GB2312" w:cs="仿宋_GB2312"/>
                <w:snapToGrid w:val="0"/>
                <w:color w:val="auto"/>
                <w:spacing w:val="0"/>
                <w:kern w:val="0"/>
                <w:sz w:val="21"/>
                <w:szCs w:val="21"/>
              </w:rPr>
            </w:pPr>
          </w:p>
        </w:tc>
        <w:tc>
          <w:tcPr>
            <w:tcW w:w="473" w:type="pct"/>
            <w:vMerge w:val="continue"/>
            <w:noWrap w:val="0"/>
            <w:tcMar>
              <w:top w:w="12" w:type="dxa"/>
              <w:left w:w="12" w:type="dxa"/>
              <w:right w:w="12" w:type="dxa"/>
            </w:tcMar>
            <w:vAlign w:val="center"/>
          </w:tcPr>
          <w:p w14:paraId="231318BA">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p>
        </w:tc>
        <w:tc>
          <w:tcPr>
            <w:tcW w:w="2147" w:type="pct"/>
            <w:noWrap w:val="0"/>
            <w:tcMar>
              <w:top w:w="12" w:type="dxa"/>
              <w:left w:w="12" w:type="dxa"/>
              <w:right w:w="12" w:type="dxa"/>
            </w:tcMar>
            <w:vAlign w:val="center"/>
          </w:tcPr>
          <w:p w14:paraId="6343D53E">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rPr>
              <w:t>安评单位项目负责人或场地专业负责人主动到场并协助开展地震安全性评价工作现场检查的，每次加0.5分，最多加2.5分</w:t>
            </w:r>
          </w:p>
        </w:tc>
        <w:tc>
          <w:tcPr>
            <w:tcW w:w="583" w:type="pct"/>
            <w:noWrap w:val="0"/>
            <w:tcMar>
              <w:top w:w="12" w:type="dxa"/>
              <w:left w:w="12" w:type="dxa"/>
              <w:right w:w="12" w:type="dxa"/>
            </w:tcMar>
            <w:vAlign w:val="center"/>
          </w:tcPr>
          <w:p w14:paraId="2C3AA23E">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rPr>
              <w:t>加0.5分</w:t>
            </w:r>
          </w:p>
        </w:tc>
        <w:tc>
          <w:tcPr>
            <w:tcW w:w="1175" w:type="pct"/>
            <w:noWrap w:val="0"/>
            <w:tcMar>
              <w:top w:w="12" w:type="dxa"/>
              <w:left w:w="12" w:type="dxa"/>
              <w:right w:w="12" w:type="dxa"/>
            </w:tcMar>
            <w:vAlign w:val="center"/>
          </w:tcPr>
          <w:p w14:paraId="46A49B31">
            <w:pPr>
              <w:spacing w:line="320" w:lineRule="exact"/>
              <w:jc w:val="left"/>
              <w:rPr>
                <w:rFonts w:hint="eastAsia" w:ascii="仿宋_GB2312" w:hAnsi="仿宋_GB2312" w:eastAsia="仿宋_GB2312" w:cs="仿宋_GB2312"/>
                <w:snapToGrid w:val="0"/>
                <w:color w:val="auto"/>
                <w:spacing w:val="0"/>
                <w:kern w:val="0"/>
                <w:sz w:val="21"/>
                <w:szCs w:val="21"/>
                <w:lang w:val="en-US" w:eastAsia="zh-CN" w:bidi="ar-SA"/>
              </w:rPr>
            </w:pPr>
          </w:p>
        </w:tc>
      </w:tr>
      <w:tr w14:paraId="4EFBD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3916B351">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11</w:t>
            </w:r>
          </w:p>
        </w:tc>
        <w:tc>
          <w:tcPr>
            <w:tcW w:w="318" w:type="pct"/>
            <w:vMerge w:val="continue"/>
            <w:noWrap w:val="0"/>
            <w:tcMar>
              <w:top w:w="12" w:type="dxa"/>
              <w:left w:w="12" w:type="dxa"/>
              <w:right w:w="12" w:type="dxa"/>
            </w:tcMar>
            <w:vAlign w:val="center"/>
          </w:tcPr>
          <w:p w14:paraId="314E164B">
            <w:pPr>
              <w:spacing w:line="320" w:lineRule="exact"/>
              <w:jc w:val="center"/>
              <w:rPr>
                <w:rFonts w:hint="eastAsia" w:ascii="仿宋_GB2312" w:hAnsi="仿宋_GB2312" w:eastAsia="仿宋_GB2312" w:cs="仿宋_GB2312"/>
                <w:snapToGrid w:val="0"/>
                <w:color w:val="auto"/>
                <w:spacing w:val="0"/>
                <w:kern w:val="0"/>
                <w:sz w:val="21"/>
                <w:szCs w:val="21"/>
              </w:rPr>
            </w:pPr>
          </w:p>
        </w:tc>
        <w:tc>
          <w:tcPr>
            <w:tcW w:w="473" w:type="pct"/>
            <w:vMerge w:val="continue"/>
            <w:noWrap w:val="0"/>
            <w:tcMar>
              <w:top w:w="12" w:type="dxa"/>
              <w:left w:w="12" w:type="dxa"/>
              <w:right w:w="12" w:type="dxa"/>
            </w:tcMar>
            <w:vAlign w:val="center"/>
          </w:tcPr>
          <w:p w14:paraId="3E064AAD">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p>
        </w:tc>
        <w:tc>
          <w:tcPr>
            <w:tcW w:w="2147" w:type="pct"/>
            <w:noWrap w:val="0"/>
            <w:tcMar>
              <w:top w:w="12" w:type="dxa"/>
              <w:left w:w="12" w:type="dxa"/>
              <w:right w:w="12" w:type="dxa"/>
            </w:tcMar>
            <w:vAlign w:val="center"/>
          </w:tcPr>
          <w:p w14:paraId="01524273">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val="en-US" w:eastAsia="zh-CN"/>
              </w:rPr>
            </w:pPr>
            <w:r>
              <w:rPr>
                <w:rFonts w:hint="eastAsia" w:ascii="仿宋_GB2312" w:hAnsi="仿宋_GB2312" w:eastAsia="仿宋_GB2312" w:cs="仿宋_GB2312"/>
                <w:snapToGrid w:val="0"/>
                <w:color w:val="auto"/>
                <w:spacing w:val="0"/>
                <w:kern w:val="0"/>
                <w:sz w:val="21"/>
                <w:szCs w:val="21"/>
                <w:lang w:val="en-US" w:eastAsia="zh-CN"/>
              </w:rPr>
              <w:t>对现场工作进行完整的照片（影像）记录，加0.5分，最多加2.5分</w:t>
            </w:r>
          </w:p>
        </w:tc>
        <w:tc>
          <w:tcPr>
            <w:tcW w:w="583" w:type="pct"/>
            <w:noWrap w:val="0"/>
            <w:tcMar>
              <w:top w:w="12" w:type="dxa"/>
              <w:left w:w="12" w:type="dxa"/>
              <w:right w:w="12" w:type="dxa"/>
            </w:tcMar>
            <w:vAlign w:val="center"/>
          </w:tcPr>
          <w:p w14:paraId="261068E9">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rPr>
            </w:pPr>
            <w:r>
              <w:rPr>
                <w:rFonts w:hint="eastAsia" w:ascii="仿宋_GB2312" w:hAnsi="仿宋_GB2312" w:eastAsia="仿宋_GB2312" w:cs="仿宋_GB2312"/>
                <w:snapToGrid w:val="0"/>
                <w:color w:val="auto"/>
                <w:spacing w:val="0"/>
                <w:kern w:val="0"/>
                <w:sz w:val="21"/>
                <w:szCs w:val="21"/>
                <w:lang w:val="en-US" w:eastAsia="zh-CN"/>
              </w:rPr>
              <w:t>加0.5分</w:t>
            </w:r>
          </w:p>
        </w:tc>
        <w:tc>
          <w:tcPr>
            <w:tcW w:w="1175" w:type="pct"/>
            <w:noWrap w:val="0"/>
            <w:tcMar>
              <w:top w:w="12" w:type="dxa"/>
              <w:left w:w="12" w:type="dxa"/>
              <w:right w:w="12" w:type="dxa"/>
            </w:tcMar>
            <w:vAlign w:val="center"/>
          </w:tcPr>
          <w:p w14:paraId="30C09FE3">
            <w:pPr>
              <w:spacing w:line="320" w:lineRule="exact"/>
              <w:jc w:val="left"/>
              <w:rPr>
                <w:rFonts w:hint="eastAsia" w:ascii="仿宋_GB2312" w:hAnsi="仿宋_GB2312" w:eastAsia="仿宋_GB2312" w:cs="仿宋_GB2312"/>
                <w:snapToGrid w:val="0"/>
                <w:color w:val="auto"/>
                <w:spacing w:val="0"/>
                <w:kern w:val="0"/>
                <w:sz w:val="21"/>
                <w:szCs w:val="21"/>
              </w:rPr>
            </w:pPr>
          </w:p>
        </w:tc>
      </w:tr>
      <w:tr w14:paraId="0A815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0AF9C4B2">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 w:eastAsia="zh-CN" w:bidi="ar-SA"/>
              </w:rPr>
            </w:pPr>
            <w:r>
              <w:rPr>
                <w:rFonts w:hint="eastAsia" w:ascii="仿宋_GB2312" w:hAnsi="仿宋_GB2312" w:eastAsia="仿宋_GB2312" w:cs="仿宋_GB2312"/>
                <w:snapToGrid w:val="0"/>
                <w:color w:val="auto"/>
                <w:spacing w:val="0"/>
                <w:kern w:val="0"/>
                <w:sz w:val="21"/>
                <w:szCs w:val="21"/>
              </w:rPr>
              <w:t>12</w:t>
            </w:r>
          </w:p>
        </w:tc>
        <w:tc>
          <w:tcPr>
            <w:tcW w:w="318" w:type="pct"/>
            <w:vMerge w:val="continue"/>
            <w:noWrap w:val="0"/>
            <w:tcMar>
              <w:top w:w="12" w:type="dxa"/>
              <w:left w:w="12" w:type="dxa"/>
              <w:right w:w="12" w:type="dxa"/>
            </w:tcMar>
            <w:vAlign w:val="center"/>
          </w:tcPr>
          <w:p w14:paraId="76D0D82C">
            <w:pPr>
              <w:spacing w:line="320" w:lineRule="exact"/>
              <w:jc w:val="center"/>
              <w:rPr>
                <w:rFonts w:hint="eastAsia" w:ascii="仿宋_GB2312" w:hAnsi="仿宋_GB2312" w:eastAsia="仿宋_GB2312" w:cs="仿宋_GB2312"/>
                <w:snapToGrid w:val="0"/>
                <w:color w:val="auto"/>
                <w:spacing w:val="0"/>
                <w:kern w:val="0"/>
                <w:sz w:val="21"/>
                <w:szCs w:val="21"/>
              </w:rPr>
            </w:pPr>
          </w:p>
        </w:tc>
        <w:tc>
          <w:tcPr>
            <w:tcW w:w="473" w:type="pct"/>
            <w:vMerge w:val="continue"/>
            <w:noWrap w:val="0"/>
            <w:tcMar>
              <w:top w:w="12" w:type="dxa"/>
              <w:left w:w="12" w:type="dxa"/>
              <w:right w:w="12" w:type="dxa"/>
            </w:tcMar>
            <w:vAlign w:val="center"/>
          </w:tcPr>
          <w:p w14:paraId="10209D1A">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p>
        </w:tc>
        <w:tc>
          <w:tcPr>
            <w:tcW w:w="2147" w:type="pct"/>
            <w:noWrap w:val="0"/>
            <w:tcMar>
              <w:top w:w="12" w:type="dxa"/>
              <w:left w:w="12" w:type="dxa"/>
              <w:right w:w="12" w:type="dxa"/>
            </w:tcMar>
            <w:vAlign w:val="center"/>
          </w:tcPr>
          <w:p w14:paraId="5450AAEF">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主动邀请国家/省级地震安全性评价技术审查专家库的专家(不少于3人）开展野外验收的，每次加</w:t>
            </w:r>
            <w:r>
              <w:rPr>
                <w:rFonts w:hint="eastAsia" w:ascii="仿宋_GB2312" w:hAnsi="仿宋_GB2312" w:eastAsia="仿宋_GB2312" w:cs="仿宋_GB2312"/>
                <w:snapToGrid w:val="0"/>
                <w:color w:val="auto"/>
                <w:spacing w:val="0"/>
                <w:kern w:val="0"/>
                <w:sz w:val="21"/>
                <w:szCs w:val="21"/>
                <w:lang w:val="en-US" w:eastAsia="zh-CN"/>
              </w:rPr>
              <w:t>0.5</w:t>
            </w:r>
            <w:r>
              <w:rPr>
                <w:rFonts w:hint="eastAsia" w:ascii="仿宋_GB2312" w:hAnsi="仿宋_GB2312" w:eastAsia="仿宋_GB2312" w:cs="仿宋_GB2312"/>
                <w:snapToGrid w:val="0"/>
                <w:color w:val="auto"/>
                <w:spacing w:val="0"/>
                <w:kern w:val="0"/>
                <w:sz w:val="21"/>
                <w:szCs w:val="21"/>
              </w:rPr>
              <w:t>分，最多加</w:t>
            </w:r>
            <w:r>
              <w:rPr>
                <w:rFonts w:hint="eastAsia" w:ascii="仿宋_GB2312" w:hAnsi="仿宋_GB2312" w:eastAsia="仿宋_GB2312" w:cs="仿宋_GB2312"/>
                <w:snapToGrid w:val="0"/>
                <w:color w:val="auto"/>
                <w:spacing w:val="0"/>
                <w:kern w:val="0"/>
                <w:sz w:val="21"/>
                <w:szCs w:val="21"/>
                <w:lang w:val="en-US" w:eastAsia="zh-CN"/>
              </w:rPr>
              <w:t>2.5</w:t>
            </w:r>
            <w:r>
              <w:rPr>
                <w:rFonts w:hint="eastAsia" w:ascii="仿宋_GB2312" w:hAnsi="仿宋_GB2312" w:eastAsia="仿宋_GB2312" w:cs="仿宋_GB2312"/>
                <w:snapToGrid w:val="0"/>
                <w:color w:val="auto"/>
                <w:spacing w:val="0"/>
                <w:kern w:val="0"/>
                <w:sz w:val="21"/>
                <w:szCs w:val="21"/>
              </w:rPr>
              <w:t>分</w:t>
            </w:r>
          </w:p>
        </w:tc>
        <w:tc>
          <w:tcPr>
            <w:tcW w:w="583" w:type="pct"/>
            <w:noWrap w:val="0"/>
            <w:tcMar>
              <w:top w:w="12" w:type="dxa"/>
              <w:left w:w="12" w:type="dxa"/>
              <w:right w:w="12" w:type="dxa"/>
            </w:tcMar>
            <w:vAlign w:val="center"/>
          </w:tcPr>
          <w:p w14:paraId="3FB93926">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rPr>
            </w:pPr>
            <w:r>
              <w:rPr>
                <w:rFonts w:hint="eastAsia" w:ascii="仿宋_GB2312" w:hAnsi="仿宋_GB2312" w:eastAsia="仿宋_GB2312" w:cs="仿宋_GB2312"/>
                <w:snapToGrid w:val="0"/>
                <w:color w:val="auto"/>
                <w:spacing w:val="0"/>
                <w:kern w:val="0"/>
                <w:sz w:val="21"/>
                <w:szCs w:val="21"/>
                <w:lang w:eastAsia="zh-CN"/>
              </w:rPr>
              <w:t>加</w:t>
            </w:r>
            <w:r>
              <w:rPr>
                <w:rFonts w:hint="eastAsia" w:ascii="仿宋_GB2312" w:hAnsi="仿宋_GB2312" w:eastAsia="仿宋_GB2312" w:cs="仿宋_GB2312"/>
                <w:snapToGrid w:val="0"/>
                <w:color w:val="auto"/>
                <w:spacing w:val="0"/>
                <w:kern w:val="0"/>
                <w:sz w:val="21"/>
                <w:szCs w:val="21"/>
                <w:lang w:val="en-US" w:eastAsia="zh-CN"/>
              </w:rPr>
              <w:t>0.5分</w:t>
            </w:r>
          </w:p>
        </w:tc>
        <w:tc>
          <w:tcPr>
            <w:tcW w:w="1175" w:type="pct"/>
            <w:noWrap w:val="0"/>
            <w:tcMar>
              <w:top w:w="12" w:type="dxa"/>
              <w:left w:w="12" w:type="dxa"/>
              <w:right w:w="12" w:type="dxa"/>
            </w:tcMar>
            <w:vAlign w:val="center"/>
          </w:tcPr>
          <w:p w14:paraId="0FF6A9D7">
            <w:pPr>
              <w:spacing w:line="320" w:lineRule="exact"/>
              <w:jc w:val="left"/>
              <w:rPr>
                <w:rFonts w:hint="eastAsia" w:ascii="仿宋_GB2312" w:hAnsi="仿宋_GB2312" w:eastAsia="仿宋_GB2312" w:cs="仿宋_GB2312"/>
                <w:snapToGrid w:val="0"/>
                <w:color w:val="auto"/>
                <w:spacing w:val="0"/>
                <w:kern w:val="0"/>
                <w:sz w:val="21"/>
                <w:szCs w:val="21"/>
              </w:rPr>
            </w:pPr>
          </w:p>
        </w:tc>
      </w:tr>
      <w:tr w14:paraId="3910E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49ED7CF9">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rPr>
              <w:t>13</w:t>
            </w:r>
          </w:p>
        </w:tc>
        <w:tc>
          <w:tcPr>
            <w:tcW w:w="318" w:type="pct"/>
            <w:vMerge w:val="restart"/>
            <w:noWrap w:val="0"/>
            <w:tcMar>
              <w:top w:w="12" w:type="dxa"/>
              <w:left w:w="12" w:type="dxa"/>
              <w:right w:w="12" w:type="dxa"/>
            </w:tcMar>
            <w:vAlign w:val="center"/>
          </w:tcPr>
          <w:p w14:paraId="4D424390">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rPr>
            </w:pPr>
          </w:p>
          <w:p w14:paraId="4472A81E">
            <w:pPr>
              <w:widowControl/>
              <w:spacing w:line="320" w:lineRule="exact"/>
              <w:jc w:val="center"/>
              <w:textAlignment w:val="center"/>
              <w:rPr>
                <w:rFonts w:hint="eastAsia" w:ascii="仿宋_GB2312" w:hAnsi="仿宋_GB2312" w:eastAsia="仿宋_GB2312" w:cs="仿宋_GB2312"/>
                <w:color w:val="auto"/>
                <w:spacing w:val="0"/>
                <w:sz w:val="21"/>
                <w:szCs w:val="24"/>
              </w:rPr>
            </w:pPr>
            <w:r>
              <w:rPr>
                <w:rFonts w:hint="eastAsia" w:ascii="仿宋_GB2312" w:hAnsi="仿宋_GB2312" w:eastAsia="仿宋_GB2312" w:cs="仿宋_GB2312"/>
                <w:snapToGrid w:val="0"/>
                <w:color w:val="auto"/>
                <w:spacing w:val="0"/>
                <w:kern w:val="0"/>
                <w:sz w:val="21"/>
                <w:szCs w:val="21"/>
              </w:rPr>
              <w:t>失信行为信息</w:t>
            </w:r>
          </w:p>
        </w:tc>
        <w:tc>
          <w:tcPr>
            <w:tcW w:w="473" w:type="pct"/>
            <w:vMerge w:val="restart"/>
            <w:noWrap w:val="0"/>
            <w:tcMar>
              <w:top w:w="12" w:type="dxa"/>
              <w:left w:w="12" w:type="dxa"/>
              <w:right w:w="12" w:type="dxa"/>
            </w:tcMar>
            <w:vAlign w:val="center"/>
          </w:tcPr>
          <w:p w14:paraId="42235EF2">
            <w:pPr>
              <w:spacing w:line="320" w:lineRule="exact"/>
              <w:jc w:val="left"/>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bidi="ar-SA"/>
              </w:rPr>
              <w:t>人员信息</w:t>
            </w:r>
          </w:p>
        </w:tc>
        <w:tc>
          <w:tcPr>
            <w:tcW w:w="2147" w:type="pct"/>
            <w:noWrap w:val="0"/>
            <w:tcMar>
              <w:top w:w="12" w:type="dxa"/>
              <w:left w:w="12" w:type="dxa"/>
              <w:right w:w="12" w:type="dxa"/>
            </w:tcMar>
            <w:vAlign w:val="center"/>
          </w:tcPr>
          <w:p w14:paraId="5C7AC090">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伪造技术人员学历、职称等信息</w:t>
            </w:r>
          </w:p>
        </w:tc>
        <w:tc>
          <w:tcPr>
            <w:tcW w:w="583" w:type="pct"/>
            <w:noWrap w:val="0"/>
            <w:tcMar>
              <w:top w:w="12" w:type="dxa"/>
              <w:left w:w="12" w:type="dxa"/>
              <w:right w:w="12" w:type="dxa"/>
            </w:tcMar>
            <w:vAlign w:val="center"/>
          </w:tcPr>
          <w:p w14:paraId="7B27C988">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rPr>
              <w:t>每1人次</w:t>
            </w:r>
            <w:r>
              <w:rPr>
                <w:rFonts w:hint="eastAsia" w:ascii="仿宋_GB2312" w:hAnsi="仿宋_GB2312" w:eastAsia="仿宋_GB2312" w:cs="仿宋_GB2312"/>
                <w:snapToGrid w:val="0"/>
                <w:color w:val="auto"/>
                <w:spacing w:val="0"/>
                <w:kern w:val="0"/>
                <w:sz w:val="21"/>
                <w:szCs w:val="21"/>
              </w:rPr>
              <w:t>扣3分</w:t>
            </w:r>
          </w:p>
        </w:tc>
        <w:tc>
          <w:tcPr>
            <w:tcW w:w="1175" w:type="pct"/>
            <w:noWrap w:val="0"/>
            <w:tcMar>
              <w:top w:w="12" w:type="dxa"/>
              <w:left w:w="12" w:type="dxa"/>
              <w:right w:w="12" w:type="dxa"/>
            </w:tcMar>
            <w:vAlign w:val="center"/>
          </w:tcPr>
          <w:p w14:paraId="7ADF88E5">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p>
        </w:tc>
      </w:tr>
      <w:tr w14:paraId="697C6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67ACB50F">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rPr>
              <w:t>14</w:t>
            </w:r>
          </w:p>
        </w:tc>
        <w:tc>
          <w:tcPr>
            <w:tcW w:w="318" w:type="pct"/>
            <w:vMerge w:val="continue"/>
            <w:noWrap w:val="0"/>
            <w:tcMar>
              <w:top w:w="12" w:type="dxa"/>
              <w:left w:w="12" w:type="dxa"/>
              <w:right w:w="12" w:type="dxa"/>
            </w:tcMar>
            <w:vAlign w:val="top"/>
          </w:tcPr>
          <w:p w14:paraId="3EE80DEB">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rPr>
            </w:pPr>
          </w:p>
        </w:tc>
        <w:tc>
          <w:tcPr>
            <w:tcW w:w="473" w:type="pct"/>
            <w:vMerge w:val="continue"/>
            <w:noWrap w:val="0"/>
            <w:tcMar>
              <w:top w:w="12" w:type="dxa"/>
              <w:left w:w="12" w:type="dxa"/>
              <w:right w:w="12" w:type="dxa"/>
            </w:tcMar>
            <w:vAlign w:val="center"/>
          </w:tcPr>
          <w:p w14:paraId="1D128D84">
            <w:pPr>
              <w:spacing w:line="320" w:lineRule="exact"/>
              <w:jc w:val="left"/>
              <w:rPr>
                <w:rFonts w:hint="eastAsia" w:ascii="仿宋_GB2312" w:hAnsi="仿宋_GB2312" w:eastAsia="仿宋_GB2312" w:cs="仿宋_GB2312"/>
                <w:snapToGrid w:val="0"/>
                <w:color w:val="auto"/>
                <w:spacing w:val="0"/>
                <w:kern w:val="0"/>
                <w:sz w:val="21"/>
                <w:szCs w:val="21"/>
                <w:lang w:val="en-US" w:eastAsia="zh-CN" w:bidi="ar-SA"/>
              </w:rPr>
            </w:pPr>
          </w:p>
        </w:tc>
        <w:tc>
          <w:tcPr>
            <w:tcW w:w="2147" w:type="pct"/>
            <w:noWrap w:val="0"/>
            <w:tcMar>
              <w:top w:w="12" w:type="dxa"/>
              <w:left w:w="12" w:type="dxa"/>
              <w:right w:w="12" w:type="dxa"/>
            </w:tcMar>
            <w:vAlign w:val="center"/>
          </w:tcPr>
          <w:p w14:paraId="1B59A3BE">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伪造技术人员与单位的劳动关系</w:t>
            </w:r>
          </w:p>
        </w:tc>
        <w:tc>
          <w:tcPr>
            <w:tcW w:w="583" w:type="pct"/>
            <w:noWrap w:val="0"/>
            <w:tcMar>
              <w:top w:w="12" w:type="dxa"/>
              <w:left w:w="12" w:type="dxa"/>
              <w:right w:w="12" w:type="dxa"/>
            </w:tcMar>
            <w:vAlign w:val="center"/>
          </w:tcPr>
          <w:p w14:paraId="6269C72B">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rPr>
              <w:t>每1人次</w:t>
            </w:r>
            <w:r>
              <w:rPr>
                <w:rFonts w:hint="eastAsia" w:ascii="仿宋_GB2312" w:hAnsi="仿宋_GB2312" w:eastAsia="仿宋_GB2312" w:cs="仿宋_GB2312"/>
                <w:snapToGrid w:val="0"/>
                <w:color w:val="auto"/>
                <w:spacing w:val="0"/>
                <w:kern w:val="0"/>
                <w:sz w:val="21"/>
                <w:szCs w:val="21"/>
              </w:rPr>
              <w:t>扣2分</w:t>
            </w:r>
          </w:p>
        </w:tc>
        <w:tc>
          <w:tcPr>
            <w:tcW w:w="1175" w:type="pct"/>
            <w:noWrap w:val="0"/>
            <w:tcMar>
              <w:top w:w="12" w:type="dxa"/>
              <w:left w:w="12" w:type="dxa"/>
              <w:right w:w="12" w:type="dxa"/>
            </w:tcMar>
            <w:vAlign w:val="center"/>
          </w:tcPr>
          <w:p w14:paraId="02955FD2">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p>
        </w:tc>
      </w:tr>
      <w:tr w14:paraId="7A887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6851551D">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rPr>
              <w:t>15</w:t>
            </w:r>
          </w:p>
        </w:tc>
        <w:tc>
          <w:tcPr>
            <w:tcW w:w="318" w:type="pct"/>
            <w:vMerge w:val="continue"/>
            <w:noWrap w:val="0"/>
            <w:tcMar>
              <w:top w:w="12" w:type="dxa"/>
              <w:left w:w="12" w:type="dxa"/>
              <w:right w:w="12" w:type="dxa"/>
            </w:tcMar>
            <w:vAlign w:val="center"/>
          </w:tcPr>
          <w:p w14:paraId="2EFA59E0">
            <w:pPr>
              <w:spacing w:line="320" w:lineRule="exact"/>
              <w:jc w:val="center"/>
              <w:rPr>
                <w:rFonts w:hint="eastAsia" w:ascii="仿宋_GB2312" w:hAnsi="仿宋_GB2312" w:eastAsia="仿宋_GB2312" w:cs="仿宋_GB2312"/>
                <w:snapToGrid w:val="0"/>
                <w:color w:val="auto"/>
                <w:spacing w:val="0"/>
                <w:kern w:val="0"/>
                <w:sz w:val="21"/>
                <w:szCs w:val="21"/>
                <w:lang w:val="en-US" w:eastAsia="zh-CN" w:bidi="ar-SA"/>
              </w:rPr>
            </w:pPr>
          </w:p>
        </w:tc>
        <w:tc>
          <w:tcPr>
            <w:tcW w:w="473" w:type="pct"/>
            <w:vMerge w:val="continue"/>
            <w:noWrap w:val="0"/>
            <w:tcMar>
              <w:top w:w="12" w:type="dxa"/>
              <w:left w:w="12" w:type="dxa"/>
              <w:right w:w="12" w:type="dxa"/>
            </w:tcMar>
            <w:vAlign w:val="center"/>
          </w:tcPr>
          <w:p w14:paraId="1F89BD41">
            <w:pPr>
              <w:spacing w:line="320" w:lineRule="exact"/>
              <w:jc w:val="left"/>
              <w:rPr>
                <w:rFonts w:hint="eastAsia" w:ascii="仿宋_GB2312" w:hAnsi="仿宋_GB2312" w:eastAsia="仿宋_GB2312" w:cs="仿宋_GB2312"/>
                <w:snapToGrid w:val="0"/>
                <w:color w:val="auto"/>
                <w:spacing w:val="0"/>
                <w:kern w:val="0"/>
                <w:sz w:val="21"/>
                <w:szCs w:val="21"/>
                <w:lang w:val="en-US" w:eastAsia="zh-CN" w:bidi="ar-SA"/>
              </w:rPr>
            </w:pPr>
          </w:p>
        </w:tc>
        <w:tc>
          <w:tcPr>
            <w:tcW w:w="2147" w:type="pct"/>
            <w:noWrap w:val="0"/>
            <w:tcMar>
              <w:top w:w="12" w:type="dxa"/>
              <w:left w:w="12" w:type="dxa"/>
              <w:right w:w="12" w:type="dxa"/>
            </w:tcMar>
            <w:vAlign w:val="center"/>
          </w:tcPr>
          <w:p w14:paraId="3C141BFF">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bidi="ar-SA"/>
              </w:rPr>
              <w:t>同一专业技术人员同时</w:t>
            </w:r>
            <w:r>
              <w:rPr>
                <w:rFonts w:hint="eastAsia" w:ascii="仿宋_GB2312" w:hAnsi="仿宋_GB2312" w:eastAsia="仿宋_GB2312" w:cs="仿宋_GB2312"/>
                <w:snapToGrid w:val="0"/>
                <w:color w:val="auto"/>
                <w:spacing w:val="0"/>
                <w:kern w:val="0"/>
                <w:sz w:val="21"/>
                <w:szCs w:val="21"/>
                <w:highlight w:val="none"/>
                <w:lang w:val="en-US" w:eastAsia="zh-CN" w:bidi="ar-SA"/>
              </w:rPr>
              <w:t>在2家及以上</w:t>
            </w:r>
            <w:r>
              <w:rPr>
                <w:rFonts w:hint="eastAsia" w:ascii="仿宋_GB2312" w:hAnsi="仿宋_GB2312" w:eastAsia="仿宋_GB2312" w:cs="仿宋_GB2312"/>
                <w:snapToGrid w:val="0"/>
                <w:color w:val="auto"/>
                <w:spacing w:val="0"/>
                <w:kern w:val="0"/>
                <w:sz w:val="21"/>
                <w:szCs w:val="21"/>
                <w:lang w:val="en-US" w:eastAsia="zh-CN" w:bidi="ar-SA"/>
              </w:rPr>
              <w:t>安评单位从业</w:t>
            </w:r>
          </w:p>
        </w:tc>
        <w:tc>
          <w:tcPr>
            <w:tcW w:w="583" w:type="pct"/>
            <w:noWrap w:val="0"/>
            <w:tcMar>
              <w:top w:w="12" w:type="dxa"/>
              <w:left w:w="12" w:type="dxa"/>
              <w:right w:w="12" w:type="dxa"/>
            </w:tcMar>
            <w:vAlign w:val="center"/>
          </w:tcPr>
          <w:p w14:paraId="12D5F1C9">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bidi="ar-SA"/>
              </w:rPr>
              <w:t>每单位每人次各扣20分</w:t>
            </w:r>
          </w:p>
        </w:tc>
        <w:tc>
          <w:tcPr>
            <w:tcW w:w="1175" w:type="pct"/>
            <w:noWrap w:val="0"/>
            <w:tcMar>
              <w:top w:w="12" w:type="dxa"/>
              <w:left w:w="12" w:type="dxa"/>
              <w:right w:w="12" w:type="dxa"/>
            </w:tcMar>
            <w:vAlign w:val="center"/>
          </w:tcPr>
          <w:p w14:paraId="46C5AB83">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p>
        </w:tc>
      </w:tr>
      <w:tr w14:paraId="1854C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060B3EE2">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rPr>
              <w:t>16</w:t>
            </w:r>
          </w:p>
        </w:tc>
        <w:tc>
          <w:tcPr>
            <w:tcW w:w="318" w:type="pct"/>
            <w:vMerge w:val="continue"/>
            <w:noWrap w:val="0"/>
            <w:tcMar>
              <w:top w:w="12" w:type="dxa"/>
              <w:left w:w="12" w:type="dxa"/>
              <w:right w:w="12" w:type="dxa"/>
            </w:tcMar>
            <w:vAlign w:val="center"/>
          </w:tcPr>
          <w:p w14:paraId="5409952C">
            <w:pPr>
              <w:spacing w:line="320" w:lineRule="exact"/>
              <w:jc w:val="center"/>
              <w:rPr>
                <w:rFonts w:hint="eastAsia" w:ascii="仿宋_GB2312" w:hAnsi="仿宋_GB2312" w:eastAsia="仿宋_GB2312" w:cs="仿宋_GB2312"/>
                <w:snapToGrid w:val="0"/>
                <w:color w:val="auto"/>
                <w:spacing w:val="0"/>
                <w:kern w:val="0"/>
                <w:sz w:val="21"/>
                <w:szCs w:val="21"/>
                <w:lang w:val="en-US" w:eastAsia="zh-CN" w:bidi="ar-SA"/>
              </w:rPr>
            </w:pPr>
          </w:p>
        </w:tc>
        <w:tc>
          <w:tcPr>
            <w:tcW w:w="473" w:type="pct"/>
            <w:vMerge w:val="restart"/>
            <w:noWrap w:val="0"/>
            <w:tcMar>
              <w:top w:w="12" w:type="dxa"/>
              <w:left w:w="12" w:type="dxa"/>
              <w:right w:w="12" w:type="dxa"/>
            </w:tcMar>
            <w:vAlign w:val="center"/>
          </w:tcPr>
          <w:p w14:paraId="43F6E31A">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技术信息</w:t>
            </w:r>
          </w:p>
        </w:tc>
        <w:tc>
          <w:tcPr>
            <w:tcW w:w="2147" w:type="pct"/>
            <w:noWrap w:val="0"/>
            <w:tcMar>
              <w:top w:w="12" w:type="dxa"/>
              <w:left w:w="12" w:type="dxa"/>
              <w:right w:w="12" w:type="dxa"/>
            </w:tcMar>
            <w:vAlign w:val="center"/>
          </w:tcPr>
          <w:p w14:paraId="00A668EE">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伪造具有承担地震安全性评价工作的技术装备和专用软件系统情况</w:t>
            </w:r>
          </w:p>
        </w:tc>
        <w:tc>
          <w:tcPr>
            <w:tcW w:w="583" w:type="pct"/>
            <w:noWrap w:val="0"/>
            <w:tcMar>
              <w:top w:w="12" w:type="dxa"/>
              <w:left w:w="12" w:type="dxa"/>
              <w:right w:w="12" w:type="dxa"/>
            </w:tcMar>
            <w:vAlign w:val="center"/>
          </w:tcPr>
          <w:p w14:paraId="20A89831">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扣2分</w:t>
            </w:r>
          </w:p>
        </w:tc>
        <w:tc>
          <w:tcPr>
            <w:tcW w:w="1175" w:type="pct"/>
            <w:noWrap w:val="0"/>
            <w:tcMar>
              <w:top w:w="12" w:type="dxa"/>
              <w:left w:w="12" w:type="dxa"/>
              <w:right w:w="12" w:type="dxa"/>
            </w:tcMar>
            <w:vAlign w:val="center"/>
          </w:tcPr>
          <w:p w14:paraId="5B797EE5">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p>
        </w:tc>
      </w:tr>
      <w:tr w14:paraId="47CA2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42260782">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rPr>
              <w:t>17</w:t>
            </w:r>
          </w:p>
        </w:tc>
        <w:tc>
          <w:tcPr>
            <w:tcW w:w="318" w:type="pct"/>
            <w:vMerge w:val="continue"/>
            <w:noWrap w:val="0"/>
            <w:tcMar>
              <w:top w:w="12" w:type="dxa"/>
              <w:left w:w="12" w:type="dxa"/>
              <w:right w:w="12" w:type="dxa"/>
            </w:tcMar>
            <w:vAlign w:val="center"/>
          </w:tcPr>
          <w:p w14:paraId="4C7168D0">
            <w:pPr>
              <w:spacing w:line="320" w:lineRule="exact"/>
              <w:jc w:val="center"/>
              <w:rPr>
                <w:rFonts w:hint="eastAsia" w:ascii="仿宋_GB2312" w:hAnsi="仿宋_GB2312" w:eastAsia="仿宋_GB2312" w:cs="仿宋_GB2312"/>
                <w:snapToGrid w:val="0"/>
                <w:color w:val="auto"/>
                <w:spacing w:val="0"/>
                <w:kern w:val="0"/>
                <w:sz w:val="21"/>
                <w:szCs w:val="21"/>
                <w:lang w:val="en-US" w:eastAsia="zh-CN" w:bidi="ar-SA"/>
              </w:rPr>
            </w:pPr>
          </w:p>
        </w:tc>
        <w:tc>
          <w:tcPr>
            <w:tcW w:w="473" w:type="pct"/>
            <w:vMerge w:val="continue"/>
            <w:noWrap w:val="0"/>
            <w:tcMar>
              <w:top w:w="12" w:type="dxa"/>
              <w:left w:w="12" w:type="dxa"/>
              <w:right w:w="12" w:type="dxa"/>
            </w:tcMar>
            <w:vAlign w:val="center"/>
          </w:tcPr>
          <w:p w14:paraId="0B84CD2B">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p>
        </w:tc>
        <w:tc>
          <w:tcPr>
            <w:tcW w:w="2147" w:type="pct"/>
            <w:noWrap w:val="0"/>
            <w:tcMar>
              <w:top w:w="12" w:type="dxa"/>
              <w:left w:w="12" w:type="dxa"/>
              <w:right w:w="12" w:type="dxa"/>
            </w:tcMar>
            <w:vAlign w:val="center"/>
          </w:tcPr>
          <w:p w14:paraId="4AAA1241">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伪</w:t>
            </w:r>
            <w:r>
              <w:rPr>
                <w:rFonts w:hint="eastAsia" w:ascii="仿宋_GB2312" w:hAnsi="仿宋_GB2312" w:eastAsia="仿宋_GB2312" w:cs="仿宋_GB2312"/>
                <w:snapToGrid w:val="0"/>
                <w:color w:val="auto"/>
                <w:spacing w:val="-6"/>
                <w:kern w:val="0"/>
                <w:sz w:val="21"/>
                <w:szCs w:val="21"/>
              </w:rPr>
              <w:t>造具备相应的实验、测试条件和分析能力情况</w:t>
            </w:r>
          </w:p>
        </w:tc>
        <w:tc>
          <w:tcPr>
            <w:tcW w:w="583" w:type="pct"/>
            <w:noWrap w:val="0"/>
            <w:tcMar>
              <w:top w:w="12" w:type="dxa"/>
              <w:left w:w="12" w:type="dxa"/>
              <w:right w:w="12" w:type="dxa"/>
            </w:tcMar>
            <w:vAlign w:val="center"/>
          </w:tcPr>
          <w:p w14:paraId="06F638BD">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扣2分</w:t>
            </w:r>
          </w:p>
        </w:tc>
        <w:tc>
          <w:tcPr>
            <w:tcW w:w="1175" w:type="pct"/>
            <w:noWrap w:val="0"/>
            <w:tcMar>
              <w:top w:w="12" w:type="dxa"/>
              <w:left w:w="12" w:type="dxa"/>
              <w:right w:w="12" w:type="dxa"/>
            </w:tcMar>
            <w:vAlign w:val="center"/>
          </w:tcPr>
          <w:p w14:paraId="6FAAA58D">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p>
        </w:tc>
      </w:tr>
      <w:tr w14:paraId="63157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01C32B3B">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1</w:t>
            </w:r>
            <w:r>
              <w:rPr>
                <w:rFonts w:hint="eastAsia" w:ascii="仿宋_GB2312" w:hAnsi="仿宋_GB2312" w:eastAsia="仿宋_GB2312" w:cs="仿宋_GB2312"/>
                <w:snapToGrid w:val="0"/>
                <w:color w:val="auto"/>
                <w:spacing w:val="0"/>
                <w:kern w:val="0"/>
                <w:sz w:val="21"/>
                <w:szCs w:val="21"/>
                <w:lang w:val="en-US" w:eastAsia="zh-CN"/>
              </w:rPr>
              <w:t>8</w:t>
            </w:r>
          </w:p>
        </w:tc>
        <w:tc>
          <w:tcPr>
            <w:tcW w:w="318" w:type="pct"/>
            <w:vMerge w:val="continue"/>
            <w:noWrap w:val="0"/>
            <w:tcMar>
              <w:top w:w="12" w:type="dxa"/>
              <w:left w:w="12" w:type="dxa"/>
              <w:right w:w="12" w:type="dxa"/>
            </w:tcMar>
            <w:vAlign w:val="center"/>
          </w:tcPr>
          <w:p w14:paraId="38BB30C1">
            <w:pPr>
              <w:spacing w:line="320" w:lineRule="exact"/>
              <w:jc w:val="center"/>
              <w:rPr>
                <w:rFonts w:hint="eastAsia" w:ascii="仿宋_GB2312" w:hAnsi="仿宋_GB2312" w:eastAsia="仿宋_GB2312" w:cs="仿宋_GB2312"/>
                <w:snapToGrid w:val="0"/>
                <w:color w:val="auto"/>
                <w:spacing w:val="0"/>
                <w:kern w:val="0"/>
                <w:sz w:val="21"/>
                <w:szCs w:val="21"/>
                <w:lang w:val="en-US" w:eastAsia="zh-CN" w:bidi="ar-SA"/>
              </w:rPr>
            </w:pPr>
          </w:p>
        </w:tc>
        <w:tc>
          <w:tcPr>
            <w:tcW w:w="473" w:type="pct"/>
            <w:vMerge w:val="continue"/>
            <w:noWrap w:val="0"/>
            <w:tcMar>
              <w:top w:w="12" w:type="dxa"/>
              <w:left w:w="12" w:type="dxa"/>
              <w:right w:w="12" w:type="dxa"/>
            </w:tcMar>
            <w:vAlign w:val="center"/>
          </w:tcPr>
          <w:p w14:paraId="321C4CC3">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p>
        </w:tc>
        <w:tc>
          <w:tcPr>
            <w:tcW w:w="2147" w:type="pct"/>
            <w:noWrap w:val="0"/>
            <w:tcMar>
              <w:top w:w="12" w:type="dxa"/>
              <w:left w:w="12" w:type="dxa"/>
              <w:right w:w="12" w:type="dxa"/>
            </w:tcMar>
            <w:vAlign w:val="center"/>
          </w:tcPr>
          <w:p w14:paraId="2453E48C">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伪造质量管理体系情况</w:t>
            </w:r>
          </w:p>
        </w:tc>
        <w:tc>
          <w:tcPr>
            <w:tcW w:w="583" w:type="pct"/>
            <w:noWrap w:val="0"/>
            <w:tcMar>
              <w:top w:w="12" w:type="dxa"/>
              <w:left w:w="12" w:type="dxa"/>
              <w:right w:w="12" w:type="dxa"/>
            </w:tcMar>
            <w:vAlign w:val="center"/>
          </w:tcPr>
          <w:p w14:paraId="62BD33C5">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扣2分</w:t>
            </w:r>
          </w:p>
        </w:tc>
        <w:tc>
          <w:tcPr>
            <w:tcW w:w="1175" w:type="pct"/>
            <w:noWrap w:val="0"/>
            <w:tcMar>
              <w:top w:w="12" w:type="dxa"/>
              <w:left w:w="12" w:type="dxa"/>
              <w:right w:w="12" w:type="dxa"/>
            </w:tcMar>
            <w:vAlign w:val="center"/>
          </w:tcPr>
          <w:p w14:paraId="25D7CADE">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p>
        </w:tc>
      </w:tr>
      <w:tr w14:paraId="7BDA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4F9DD13C">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rPr>
              <w:t>19</w:t>
            </w:r>
          </w:p>
        </w:tc>
        <w:tc>
          <w:tcPr>
            <w:tcW w:w="318" w:type="pct"/>
            <w:vMerge w:val="continue"/>
            <w:noWrap w:val="0"/>
            <w:tcMar>
              <w:top w:w="12" w:type="dxa"/>
              <w:left w:w="12" w:type="dxa"/>
              <w:right w:w="12" w:type="dxa"/>
            </w:tcMar>
            <w:vAlign w:val="center"/>
          </w:tcPr>
          <w:p w14:paraId="1FD7937B">
            <w:pPr>
              <w:spacing w:line="320" w:lineRule="exact"/>
              <w:rPr>
                <w:rFonts w:hint="eastAsia" w:ascii="仿宋_GB2312" w:hAnsi="仿宋_GB2312" w:eastAsia="仿宋_GB2312" w:cs="仿宋_GB2312"/>
                <w:color w:val="auto"/>
                <w:spacing w:val="0"/>
                <w:sz w:val="21"/>
                <w:szCs w:val="24"/>
              </w:rPr>
            </w:pPr>
          </w:p>
        </w:tc>
        <w:tc>
          <w:tcPr>
            <w:tcW w:w="473" w:type="pct"/>
            <w:vMerge w:val="restart"/>
            <w:noWrap w:val="0"/>
            <w:tcMar>
              <w:top w:w="12" w:type="dxa"/>
              <w:left w:w="12" w:type="dxa"/>
              <w:right w:w="12" w:type="dxa"/>
            </w:tcMar>
            <w:vAlign w:val="center"/>
          </w:tcPr>
          <w:p w14:paraId="3D8868F4">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eastAsia="zh-CN"/>
              </w:rPr>
            </w:pPr>
            <w:r>
              <w:rPr>
                <w:rFonts w:hint="eastAsia" w:ascii="仿宋_GB2312" w:hAnsi="仿宋_GB2312" w:eastAsia="仿宋_GB2312" w:cs="仿宋_GB2312"/>
                <w:snapToGrid w:val="0"/>
                <w:color w:val="auto"/>
                <w:spacing w:val="0"/>
                <w:kern w:val="0"/>
                <w:sz w:val="21"/>
                <w:szCs w:val="21"/>
                <w:lang w:eastAsia="zh-CN"/>
              </w:rPr>
              <w:t>现场工作</w:t>
            </w:r>
          </w:p>
        </w:tc>
        <w:tc>
          <w:tcPr>
            <w:tcW w:w="2147" w:type="pct"/>
            <w:noWrap w:val="0"/>
            <w:tcMar>
              <w:top w:w="12" w:type="dxa"/>
              <w:left w:w="12" w:type="dxa"/>
              <w:right w:w="12" w:type="dxa"/>
            </w:tcMar>
            <w:vAlign w:val="center"/>
          </w:tcPr>
          <w:p w14:paraId="57229972">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未及时向</w:t>
            </w:r>
            <w:r>
              <w:rPr>
                <w:rFonts w:hint="eastAsia" w:ascii="仿宋_GB2312" w:hAnsi="仿宋_GB2312" w:eastAsia="仿宋_GB2312" w:cs="仿宋_GB2312"/>
                <w:snapToGrid w:val="0"/>
                <w:color w:val="auto"/>
                <w:spacing w:val="0"/>
                <w:kern w:val="0"/>
                <w:sz w:val="21"/>
                <w:szCs w:val="21"/>
                <w:lang w:eastAsia="zh-CN"/>
              </w:rPr>
              <w:t>项目所在地省级地震局</w:t>
            </w:r>
            <w:r>
              <w:rPr>
                <w:rFonts w:hint="eastAsia" w:ascii="仿宋_GB2312" w:hAnsi="仿宋_GB2312" w:eastAsia="仿宋_GB2312" w:cs="仿宋_GB2312"/>
                <w:snapToGrid w:val="0"/>
                <w:color w:val="auto"/>
                <w:spacing w:val="0"/>
                <w:kern w:val="0"/>
                <w:sz w:val="21"/>
                <w:szCs w:val="21"/>
              </w:rPr>
              <w:t>报告项目承揽信息，逃避现场工作检查的行为</w:t>
            </w:r>
          </w:p>
        </w:tc>
        <w:tc>
          <w:tcPr>
            <w:tcW w:w="583" w:type="pct"/>
            <w:noWrap w:val="0"/>
            <w:tcMar>
              <w:top w:w="12" w:type="dxa"/>
              <w:left w:w="12" w:type="dxa"/>
              <w:right w:w="12" w:type="dxa"/>
            </w:tcMar>
            <w:vAlign w:val="center"/>
          </w:tcPr>
          <w:p w14:paraId="13E16FD1">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eastAsia="zh-CN"/>
              </w:rPr>
              <w:t>每次</w:t>
            </w:r>
            <w:r>
              <w:rPr>
                <w:rFonts w:hint="eastAsia" w:ascii="仿宋_GB2312" w:hAnsi="仿宋_GB2312" w:eastAsia="仿宋_GB2312" w:cs="仿宋_GB2312"/>
                <w:snapToGrid w:val="0"/>
                <w:color w:val="auto"/>
                <w:spacing w:val="0"/>
                <w:kern w:val="0"/>
                <w:sz w:val="21"/>
                <w:szCs w:val="21"/>
              </w:rPr>
              <w:t>扣</w:t>
            </w:r>
            <w:r>
              <w:rPr>
                <w:rFonts w:hint="eastAsia" w:ascii="仿宋_GB2312" w:hAnsi="仿宋_GB2312" w:eastAsia="仿宋_GB2312" w:cs="仿宋_GB2312"/>
                <w:snapToGrid w:val="0"/>
                <w:color w:val="auto"/>
                <w:spacing w:val="0"/>
                <w:kern w:val="0"/>
                <w:sz w:val="21"/>
                <w:szCs w:val="21"/>
                <w:lang w:val="en-US" w:eastAsia="zh-CN"/>
              </w:rPr>
              <w:t>5</w:t>
            </w:r>
            <w:r>
              <w:rPr>
                <w:rFonts w:hint="eastAsia" w:ascii="仿宋_GB2312" w:hAnsi="仿宋_GB2312" w:eastAsia="仿宋_GB2312" w:cs="仿宋_GB2312"/>
                <w:snapToGrid w:val="0"/>
                <w:color w:val="auto"/>
                <w:spacing w:val="0"/>
                <w:kern w:val="0"/>
                <w:sz w:val="21"/>
                <w:szCs w:val="21"/>
              </w:rPr>
              <w:t>分</w:t>
            </w:r>
          </w:p>
        </w:tc>
        <w:tc>
          <w:tcPr>
            <w:tcW w:w="1175" w:type="pct"/>
            <w:noWrap w:val="0"/>
            <w:tcMar>
              <w:top w:w="12" w:type="dxa"/>
              <w:left w:w="12" w:type="dxa"/>
              <w:right w:w="12" w:type="dxa"/>
            </w:tcMar>
            <w:vAlign w:val="center"/>
          </w:tcPr>
          <w:p w14:paraId="23DA1C3E">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p>
        </w:tc>
      </w:tr>
      <w:tr w14:paraId="704AC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54F5476B">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2</w:t>
            </w:r>
            <w:r>
              <w:rPr>
                <w:rFonts w:hint="eastAsia" w:ascii="仿宋_GB2312" w:hAnsi="仿宋_GB2312" w:eastAsia="仿宋_GB2312" w:cs="仿宋_GB2312"/>
                <w:snapToGrid w:val="0"/>
                <w:color w:val="auto"/>
                <w:spacing w:val="0"/>
                <w:kern w:val="0"/>
                <w:sz w:val="21"/>
                <w:szCs w:val="21"/>
                <w:lang w:val="en-US" w:eastAsia="zh-CN"/>
              </w:rPr>
              <w:t>0</w:t>
            </w:r>
          </w:p>
        </w:tc>
        <w:tc>
          <w:tcPr>
            <w:tcW w:w="318" w:type="pct"/>
            <w:vMerge w:val="continue"/>
            <w:noWrap w:val="0"/>
            <w:tcMar>
              <w:top w:w="12" w:type="dxa"/>
              <w:left w:w="12" w:type="dxa"/>
              <w:right w:w="12" w:type="dxa"/>
            </w:tcMar>
            <w:vAlign w:val="center"/>
          </w:tcPr>
          <w:p w14:paraId="4ABF6A8F">
            <w:pPr>
              <w:spacing w:line="320" w:lineRule="exact"/>
              <w:rPr>
                <w:rFonts w:hint="eastAsia" w:ascii="仿宋_GB2312" w:hAnsi="仿宋_GB2312" w:eastAsia="仿宋_GB2312" w:cs="仿宋_GB2312"/>
                <w:color w:val="auto"/>
                <w:spacing w:val="0"/>
                <w:sz w:val="21"/>
                <w:szCs w:val="24"/>
              </w:rPr>
            </w:pPr>
          </w:p>
        </w:tc>
        <w:tc>
          <w:tcPr>
            <w:tcW w:w="473" w:type="pct"/>
            <w:vMerge w:val="continue"/>
            <w:noWrap w:val="0"/>
            <w:tcMar>
              <w:top w:w="12" w:type="dxa"/>
              <w:left w:w="12" w:type="dxa"/>
              <w:right w:w="12" w:type="dxa"/>
            </w:tcMar>
            <w:vAlign w:val="center"/>
          </w:tcPr>
          <w:p w14:paraId="5EC01861">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eastAsia="zh-CN"/>
              </w:rPr>
            </w:pPr>
          </w:p>
        </w:tc>
        <w:tc>
          <w:tcPr>
            <w:tcW w:w="2147" w:type="pct"/>
            <w:noWrap w:val="0"/>
            <w:tcMar>
              <w:top w:w="12" w:type="dxa"/>
              <w:left w:w="12" w:type="dxa"/>
              <w:right w:w="12" w:type="dxa"/>
            </w:tcMar>
            <w:vAlign w:val="center"/>
          </w:tcPr>
          <w:p w14:paraId="1617C947">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伪造地震安全性评价现场工作原始记录</w:t>
            </w:r>
            <w:r>
              <w:rPr>
                <w:rFonts w:hint="eastAsia" w:ascii="仿宋_GB2312" w:hAnsi="仿宋_GB2312" w:eastAsia="仿宋_GB2312" w:cs="仿宋_GB2312"/>
                <w:snapToGrid w:val="0"/>
                <w:color w:val="auto"/>
                <w:spacing w:val="0"/>
                <w:kern w:val="0"/>
                <w:sz w:val="21"/>
                <w:szCs w:val="21"/>
                <w:lang w:eastAsia="zh-CN"/>
              </w:rPr>
              <w:t>和</w:t>
            </w:r>
            <w:r>
              <w:rPr>
                <w:rFonts w:hint="eastAsia" w:ascii="仿宋_GB2312" w:hAnsi="仿宋_GB2312" w:eastAsia="仿宋_GB2312" w:cs="仿宋_GB2312"/>
                <w:snapToGrid w:val="0"/>
                <w:color w:val="auto"/>
                <w:spacing w:val="0"/>
                <w:kern w:val="0"/>
                <w:sz w:val="21"/>
                <w:szCs w:val="21"/>
              </w:rPr>
              <w:t>原始数据（含钻探、剪切波速测试、地球物理勘探等现场工作原始数据以及动三轴或共振柱试验原始数据）</w:t>
            </w:r>
          </w:p>
        </w:tc>
        <w:tc>
          <w:tcPr>
            <w:tcW w:w="583" w:type="pct"/>
            <w:noWrap w:val="0"/>
            <w:tcMar>
              <w:top w:w="12" w:type="dxa"/>
              <w:left w:w="12" w:type="dxa"/>
              <w:right w:w="12" w:type="dxa"/>
            </w:tcMar>
            <w:vAlign w:val="center"/>
          </w:tcPr>
          <w:p w14:paraId="1A60D7D6">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每次扣10分</w:t>
            </w:r>
          </w:p>
        </w:tc>
        <w:tc>
          <w:tcPr>
            <w:tcW w:w="1175" w:type="pct"/>
            <w:noWrap w:val="0"/>
            <w:tcMar>
              <w:top w:w="12" w:type="dxa"/>
              <w:left w:w="12" w:type="dxa"/>
              <w:right w:w="12" w:type="dxa"/>
            </w:tcMar>
            <w:vAlign w:val="center"/>
          </w:tcPr>
          <w:p w14:paraId="20BC9970">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p>
        </w:tc>
      </w:tr>
      <w:tr w14:paraId="5D2BE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74AB0EA2">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2</w:t>
            </w:r>
            <w:r>
              <w:rPr>
                <w:rFonts w:hint="eastAsia" w:ascii="仿宋_GB2312" w:hAnsi="仿宋_GB2312" w:eastAsia="仿宋_GB2312" w:cs="仿宋_GB2312"/>
                <w:snapToGrid w:val="0"/>
                <w:color w:val="auto"/>
                <w:spacing w:val="0"/>
                <w:kern w:val="0"/>
                <w:sz w:val="21"/>
                <w:szCs w:val="21"/>
                <w:lang w:val="en-US" w:eastAsia="zh-CN"/>
              </w:rPr>
              <w:t>1</w:t>
            </w:r>
          </w:p>
        </w:tc>
        <w:tc>
          <w:tcPr>
            <w:tcW w:w="318" w:type="pct"/>
            <w:vMerge w:val="continue"/>
            <w:noWrap w:val="0"/>
            <w:tcMar>
              <w:top w:w="12" w:type="dxa"/>
              <w:left w:w="12" w:type="dxa"/>
              <w:right w:w="12" w:type="dxa"/>
            </w:tcMar>
            <w:vAlign w:val="center"/>
          </w:tcPr>
          <w:p w14:paraId="46838206">
            <w:pPr>
              <w:spacing w:line="320" w:lineRule="exact"/>
              <w:rPr>
                <w:rFonts w:hint="eastAsia" w:ascii="仿宋_GB2312" w:hAnsi="仿宋_GB2312" w:eastAsia="仿宋_GB2312" w:cs="仿宋_GB2312"/>
                <w:color w:val="auto"/>
                <w:spacing w:val="0"/>
                <w:sz w:val="21"/>
                <w:szCs w:val="24"/>
              </w:rPr>
            </w:pPr>
          </w:p>
        </w:tc>
        <w:tc>
          <w:tcPr>
            <w:tcW w:w="473" w:type="pct"/>
            <w:vMerge w:val="continue"/>
            <w:noWrap w:val="0"/>
            <w:tcMar>
              <w:top w:w="12" w:type="dxa"/>
              <w:left w:w="12" w:type="dxa"/>
              <w:right w:w="12" w:type="dxa"/>
            </w:tcMar>
            <w:vAlign w:val="center"/>
          </w:tcPr>
          <w:p w14:paraId="7D007F80">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eastAsia="zh-CN"/>
              </w:rPr>
            </w:pPr>
          </w:p>
        </w:tc>
        <w:tc>
          <w:tcPr>
            <w:tcW w:w="2147" w:type="pct"/>
            <w:noWrap w:val="0"/>
            <w:tcMar>
              <w:top w:w="12" w:type="dxa"/>
              <w:left w:w="12" w:type="dxa"/>
              <w:right w:w="12" w:type="dxa"/>
            </w:tcMar>
            <w:vAlign w:val="center"/>
          </w:tcPr>
          <w:p w14:paraId="1F4338BA">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以暴力、威胁等方式拒绝、阻挠地震工作主管部门执法人员依法实施现场监督检查，或者拒不配合违法行为查处</w:t>
            </w:r>
          </w:p>
        </w:tc>
        <w:tc>
          <w:tcPr>
            <w:tcW w:w="583" w:type="pct"/>
            <w:noWrap w:val="0"/>
            <w:tcMar>
              <w:top w:w="12" w:type="dxa"/>
              <w:left w:w="12" w:type="dxa"/>
              <w:right w:w="12" w:type="dxa"/>
            </w:tcMar>
            <w:vAlign w:val="center"/>
          </w:tcPr>
          <w:p w14:paraId="6B187217">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每次扣10分</w:t>
            </w:r>
          </w:p>
        </w:tc>
        <w:tc>
          <w:tcPr>
            <w:tcW w:w="1175" w:type="pct"/>
            <w:noWrap w:val="0"/>
            <w:tcMar>
              <w:top w:w="12" w:type="dxa"/>
              <w:left w:w="12" w:type="dxa"/>
              <w:right w:w="12" w:type="dxa"/>
            </w:tcMar>
            <w:vAlign w:val="center"/>
          </w:tcPr>
          <w:p w14:paraId="66E8AE1F">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p>
        </w:tc>
      </w:tr>
      <w:tr w14:paraId="03347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2D2D38F3">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rPr>
              <w:t>22</w:t>
            </w:r>
          </w:p>
        </w:tc>
        <w:tc>
          <w:tcPr>
            <w:tcW w:w="318" w:type="pct"/>
            <w:vMerge w:val="continue"/>
            <w:noWrap w:val="0"/>
            <w:tcMar>
              <w:top w:w="12" w:type="dxa"/>
              <w:left w:w="12" w:type="dxa"/>
              <w:right w:w="12" w:type="dxa"/>
            </w:tcMar>
            <w:vAlign w:val="center"/>
          </w:tcPr>
          <w:p w14:paraId="31812A95">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rPr>
            </w:pPr>
          </w:p>
        </w:tc>
        <w:tc>
          <w:tcPr>
            <w:tcW w:w="473" w:type="pct"/>
            <w:vMerge w:val="restart"/>
            <w:noWrap w:val="0"/>
            <w:tcMar>
              <w:top w:w="12" w:type="dxa"/>
              <w:left w:w="12" w:type="dxa"/>
              <w:right w:w="12" w:type="dxa"/>
            </w:tcMar>
            <w:vAlign w:val="center"/>
          </w:tcPr>
          <w:p w14:paraId="5B9460A5">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eastAsia="zh-CN"/>
              </w:rPr>
            </w:pPr>
            <w:r>
              <w:rPr>
                <w:rFonts w:hint="eastAsia" w:ascii="仿宋_GB2312" w:hAnsi="仿宋_GB2312" w:eastAsia="仿宋_GB2312" w:cs="仿宋_GB2312"/>
                <w:snapToGrid w:val="0"/>
                <w:color w:val="auto"/>
                <w:spacing w:val="0"/>
                <w:kern w:val="0"/>
                <w:sz w:val="21"/>
                <w:szCs w:val="21"/>
                <w:lang w:eastAsia="zh-CN"/>
              </w:rPr>
              <w:t>技术审查</w:t>
            </w:r>
          </w:p>
        </w:tc>
        <w:tc>
          <w:tcPr>
            <w:tcW w:w="2147" w:type="pct"/>
            <w:noWrap w:val="0"/>
            <w:tcMar>
              <w:top w:w="12" w:type="dxa"/>
              <w:left w:w="12" w:type="dxa"/>
              <w:right w:w="12" w:type="dxa"/>
            </w:tcMar>
            <w:vAlign w:val="center"/>
          </w:tcPr>
          <w:p w14:paraId="5045A85D">
            <w:pPr>
              <w:widowControl/>
              <w:spacing w:line="360" w:lineRule="exact"/>
              <w:jc w:val="left"/>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地震安全性评价报告因质量问题未通过技术审查</w:t>
            </w:r>
          </w:p>
        </w:tc>
        <w:tc>
          <w:tcPr>
            <w:tcW w:w="583" w:type="pct"/>
            <w:noWrap w:val="0"/>
            <w:tcMar>
              <w:top w:w="12" w:type="dxa"/>
              <w:left w:w="12" w:type="dxa"/>
              <w:right w:w="12" w:type="dxa"/>
            </w:tcMar>
            <w:vAlign w:val="center"/>
          </w:tcPr>
          <w:p w14:paraId="2A55507A">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每次扣5分</w:t>
            </w:r>
          </w:p>
        </w:tc>
        <w:tc>
          <w:tcPr>
            <w:tcW w:w="1175" w:type="pct"/>
            <w:vMerge w:val="restart"/>
            <w:noWrap w:val="0"/>
            <w:tcMar>
              <w:top w:w="12" w:type="dxa"/>
              <w:left w:w="12" w:type="dxa"/>
              <w:right w:w="12" w:type="dxa"/>
            </w:tcMar>
            <w:vAlign w:val="center"/>
          </w:tcPr>
          <w:p w14:paraId="67DCC1A0">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在</w:t>
            </w:r>
            <w:r>
              <w:rPr>
                <w:rFonts w:hint="eastAsia" w:ascii="仿宋_GB2312" w:hAnsi="仿宋_GB2312" w:eastAsia="仿宋_GB2312" w:cs="仿宋_GB2312"/>
                <w:snapToGrid w:val="0"/>
                <w:color w:val="auto"/>
                <w:spacing w:val="0"/>
                <w:kern w:val="0"/>
                <w:sz w:val="21"/>
                <w:szCs w:val="21"/>
                <w:lang w:eastAsia="zh-CN"/>
              </w:rPr>
              <w:t>近一年度</w:t>
            </w:r>
            <w:r>
              <w:rPr>
                <w:rFonts w:hint="eastAsia" w:ascii="仿宋_GB2312" w:hAnsi="仿宋_GB2312" w:eastAsia="仿宋_GB2312" w:cs="仿宋_GB2312"/>
                <w:snapToGrid w:val="0"/>
                <w:color w:val="auto"/>
                <w:spacing w:val="0"/>
                <w:kern w:val="0"/>
                <w:sz w:val="21"/>
                <w:szCs w:val="21"/>
              </w:rPr>
              <w:t>地震安全性评价报告技术审查中均未出现因质量问题未通过技术审查</w:t>
            </w:r>
            <w:r>
              <w:rPr>
                <w:rFonts w:hint="eastAsia" w:ascii="仿宋_GB2312" w:hAnsi="仿宋_GB2312" w:eastAsia="仿宋_GB2312" w:cs="仿宋_GB2312"/>
                <w:snapToGrid w:val="0"/>
                <w:color w:val="auto"/>
                <w:spacing w:val="0"/>
                <w:kern w:val="0"/>
                <w:sz w:val="21"/>
                <w:szCs w:val="21"/>
                <w:lang w:eastAsia="zh-CN"/>
              </w:rPr>
              <w:t>或反复修改</w:t>
            </w:r>
            <w:r>
              <w:rPr>
                <w:rFonts w:hint="eastAsia" w:ascii="仿宋_GB2312" w:hAnsi="仿宋_GB2312" w:eastAsia="仿宋_GB2312" w:cs="仿宋_GB2312"/>
                <w:snapToGrid w:val="0"/>
                <w:color w:val="auto"/>
                <w:spacing w:val="0"/>
                <w:kern w:val="0"/>
                <w:sz w:val="21"/>
                <w:szCs w:val="21"/>
                <w:lang w:val="en-US" w:eastAsia="zh-CN"/>
              </w:rPr>
              <w:t>3次（含）以上仍未通过技术审查</w:t>
            </w:r>
            <w:r>
              <w:rPr>
                <w:rFonts w:hint="eastAsia" w:ascii="仿宋_GB2312" w:hAnsi="仿宋_GB2312" w:eastAsia="仿宋_GB2312" w:cs="仿宋_GB2312"/>
                <w:snapToGrid w:val="0"/>
                <w:color w:val="auto"/>
                <w:spacing w:val="0"/>
                <w:kern w:val="0"/>
                <w:sz w:val="21"/>
                <w:szCs w:val="21"/>
              </w:rPr>
              <w:t>的，可申请信用修复，每</w:t>
            </w:r>
            <w:r>
              <w:rPr>
                <w:rFonts w:hint="eastAsia" w:ascii="仿宋_GB2312" w:hAnsi="仿宋_GB2312" w:eastAsia="仿宋_GB2312" w:cs="仿宋_GB2312"/>
                <w:snapToGrid w:val="0"/>
                <w:color w:val="auto"/>
                <w:spacing w:val="0"/>
                <w:kern w:val="0"/>
                <w:sz w:val="21"/>
                <w:szCs w:val="21"/>
                <w:lang w:eastAsia="zh-CN"/>
              </w:rPr>
              <w:t>个报告</w:t>
            </w:r>
            <w:r>
              <w:rPr>
                <w:rFonts w:hint="eastAsia" w:ascii="仿宋_GB2312" w:hAnsi="仿宋_GB2312" w:eastAsia="仿宋_GB2312" w:cs="仿宋_GB2312"/>
                <w:snapToGrid w:val="0"/>
                <w:color w:val="auto"/>
                <w:spacing w:val="0"/>
                <w:kern w:val="0"/>
                <w:sz w:val="21"/>
                <w:szCs w:val="21"/>
              </w:rPr>
              <w:t>加</w:t>
            </w:r>
            <w:r>
              <w:rPr>
                <w:rFonts w:hint="eastAsia" w:ascii="仿宋_GB2312" w:hAnsi="仿宋_GB2312" w:eastAsia="仿宋_GB2312" w:cs="仿宋_GB2312"/>
                <w:snapToGrid w:val="0"/>
                <w:color w:val="auto"/>
                <w:spacing w:val="0"/>
                <w:kern w:val="0"/>
                <w:sz w:val="21"/>
                <w:szCs w:val="21"/>
                <w:lang w:val="en-US" w:eastAsia="zh-CN"/>
              </w:rPr>
              <w:t>1</w:t>
            </w:r>
            <w:r>
              <w:rPr>
                <w:rFonts w:hint="eastAsia" w:ascii="仿宋_GB2312" w:hAnsi="仿宋_GB2312" w:eastAsia="仿宋_GB2312" w:cs="仿宋_GB2312"/>
                <w:snapToGrid w:val="0"/>
                <w:color w:val="auto"/>
                <w:spacing w:val="0"/>
                <w:kern w:val="0"/>
                <w:sz w:val="21"/>
                <w:szCs w:val="21"/>
              </w:rPr>
              <w:t>分，最高加分值不超过该情况累计扣分值</w:t>
            </w:r>
          </w:p>
        </w:tc>
      </w:tr>
      <w:tr w14:paraId="2DD04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7F3266EF">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rPr>
              <w:t>23</w:t>
            </w:r>
          </w:p>
        </w:tc>
        <w:tc>
          <w:tcPr>
            <w:tcW w:w="318" w:type="pct"/>
            <w:vMerge w:val="continue"/>
            <w:noWrap w:val="0"/>
            <w:tcMar>
              <w:top w:w="12" w:type="dxa"/>
              <w:left w:w="12" w:type="dxa"/>
              <w:right w:w="12" w:type="dxa"/>
            </w:tcMar>
            <w:vAlign w:val="center"/>
          </w:tcPr>
          <w:p w14:paraId="43BDB406">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rPr>
            </w:pPr>
          </w:p>
        </w:tc>
        <w:tc>
          <w:tcPr>
            <w:tcW w:w="473" w:type="pct"/>
            <w:vMerge w:val="continue"/>
            <w:noWrap w:val="0"/>
            <w:tcMar>
              <w:top w:w="12" w:type="dxa"/>
              <w:left w:w="12" w:type="dxa"/>
              <w:right w:w="12" w:type="dxa"/>
            </w:tcMar>
            <w:vAlign w:val="center"/>
          </w:tcPr>
          <w:p w14:paraId="593B8390">
            <w:pPr>
              <w:widowControl/>
              <w:spacing w:line="360" w:lineRule="exact"/>
              <w:jc w:val="left"/>
              <w:textAlignment w:val="center"/>
              <w:rPr>
                <w:rFonts w:hint="eastAsia" w:ascii="仿宋_GB2312" w:hAnsi="仿宋_GB2312" w:eastAsia="仿宋_GB2312" w:cs="仿宋_GB2312"/>
                <w:snapToGrid w:val="0"/>
                <w:color w:val="auto"/>
                <w:spacing w:val="0"/>
                <w:kern w:val="0"/>
                <w:sz w:val="21"/>
                <w:szCs w:val="21"/>
              </w:rPr>
            </w:pPr>
          </w:p>
        </w:tc>
        <w:tc>
          <w:tcPr>
            <w:tcW w:w="2147" w:type="pct"/>
            <w:noWrap w:val="0"/>
            <w:tcMar>
              <w:top w:w="12" w:type="dxa"/>
              <w:left w:w="12" w:type="dxa"/>
              <w:right w:w="12" w:type="dxa"/>
            </w:tcMar>
            <w:vAlign w:val="center"/>
          </w:tcPr>
          <w:p w14:paraId="7057BC11">
            <w:pPr>
              <w:widowControl/>
              <w:spacing w:line="360" w:lineRule="exact"/>
              <w:jc w:val="left"/>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技术审查过程中安评报告反复修改3次</w:t>
            </w:r>
            <w:r>
              <w:rPr>
                <w:rFonts w:hint="eastAsia" w:ascii="仿宋_GB2312" w:hAnsi="仿宋_GB2312" w:eastAsia="仿宋_GB2312" w:cs="仿宋_GB2312"/>
                <w:snapToGrid w:val="0"/>
                <w:color w:val="auto"/>
                <w:spacing w:val="0"/>
                <w:kern w:val="0"/>
                <w:sz w:val="21"/>
                <w:szCs w:val="21"/>
                <w:lang w:eastAsia="zh-CN"/>
              </w:rPr>
              <w:t>（含）</w:t>
            </w:r>
            <w:r>
              <w:rPr>
                <w:rFonts w:hint="eastAsia" w:ascii="仿宋_GB2312" w:hAnsi="仿宋_GB2312" w:eastAsia="仿宋_GB2312" w:cs="仿宋_GB2312"/>
                <w:snapToGrid w:val="0"/>
                <w:color w:val="auto"/>
                <w:spacing w:val="0"/>
                <w:kern w:val="0"/>
                <w:sz w:val="21"/>
                <w:szCs w:val="21"/>
              </w:rPr>
              <w:t>以上，仍未通过技术审查的</w:t>
            </w:r>
          </w:p>
        </w:tc>
        <w:tc>
          <w:tcPr>
            <w:tcW w:w="583" w:type="pct"/>
            <w:noWrap w:val="0"/>
            <w:tcMar>
              <w:top w:w="12" w:type="dxa"/>
              <w:left w:w="12" w:type="dxa"/>
              <w:right w:w="12" w:type="dxa"/>
            </w:tcMar>
            <w:vAlign w:val="center"/>
          </w:tcPr>
          <w:p w14:paraId="59E2B4C4">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eastAsia="zh-CN"/>
              </w:rPr>
              <w:t>每次扣</w:t>
            </w:r>
            <w:r>
              <w:rPr>
                <w:rFonts w:hint="eastAsia" w:ascii="仿宋_GB2312" w:hAnsi="仿宋_GB2312" w:eastAsia="仿宋_GB2312" w:cs="仿宋_GB2312"/>
                <w:snapToGrid w:val="0"/>
                <w:color w:val="auto"/>
                <w:spacing w:val="0"/>
                <w:kern w:val="0"/>
                <w:sz w:val="21"/>
                <w:szCs w:val="21"/>
                <w:lang w:val="en-US" w:eastAsia="zh-CN"/>
              </w:rPr>
              <w:t>2分</w:t>
            </w:r>
          </w:p>
        </w:tc>
        <w:tc>
          <w:tcPr>
            <w:tcW w:w="1175" w:type="pct"/>
            <w:vMerge w:val="continue"/>
            <w:noWrap w:val="0"/>
            <w:tcMar>
              <w:top w:w="12" w:type="dxa"/>
              <w:left w:w="12" w:type="dxa"/>
              <w:right w:w="12" w:type="dxa"/>
            </w:tcMar>
            <w:vAlign w:val="center"/>
          </w:tcPr>
          <w:p w14:paraId="43507499">
            <w:pPr>
              <w:widowControl/>
              <w:spacing w:line="360" w:lineRule="exact"/>
              <w:jc w:val="left"/>
              <w:textAlignment w:val="center"/>
              <w:rPr>
                <w:rFonts w:hint="eastAsia" w:ascii="仿宋_GB2312" w:hAnsi="仿宋_GB2312" w:eastAsia="仿宋_GB2312" w:cs="仿宋_GB2312"/>
                <w:snapToGrid w:val="0"/>
                <w:color w:val="auto"/>
                <w:spacing w:val="0"/>
                <w:kern w:val="0"/>
                <w:sz w:val="21"/>
                <w:szCs w:val="21"/>
              </w:rPr>
            </w:pPr>
          </w:p>
        </w:tc>
      </w:tr>
      <w:tr w14:paraId="63F1F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57F4A81A">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
              </w:rPr>
              <w:t>2</w:t>
            </w:r>
            <w:r>
              <w:rPr>
                <w:rFonts w:hint="eastAsia" w:ascii="仿宋_GB2312" w:hAnsi="仿宋_GB2312" w:eastAsia="仿宋_GB2312" w:cs="仿宋_GB2312"/>
                <w:snapToGrid w:val="0"/>
                <w:color w:val="auto"/>
                <w:spacing w:val="0"/>
                <w:kern w:val="0"/>
                <w:sz w:val="21"/>
                <w:szCs w:val="21"/>
                <w:lang w:val="en-US" w:eastAsia="zh-CN"/>
              </w:rPr>
              <w:t>4</w:t>
            </w:r>
          </w:p>
        </w:tc>
        <w:tc>
          <w:tcPr>
            <w:tcW w:w="318" w:type="pct"/>
            <w:vMerge w:val="continue"/>
            <w:noWrap w:val="0"/>
            <w:tcMar>
              <w:top w:w="12" w:type="dxa"/>
              <w:left w:w="12" w:type="dxa"/>
              <w:right w:w="12" w:type="dxa"/>
            </w:tcMar>
            <w:vAlign w:val="center"/>
          </w:tcPr>
          <w:p w14:paraId="48B79B5D">
            <w:pPr>
              <w:spacing w:line="360" w:lineRule="exact"/>
              <w:jc w:val="center"/>
              <w:rPr>
                <w:rFonts w:hint="eastAsia" w:ascii="仿宋_GB2312" w:hAnsi="仿宋_GB2312" w:eastAsia="仿宋_GB2312" w:cs="仿宋_GB2312"/>
                <w:snapToGrid w:val="0"/>
                <w:color w:val="auto"/>
                <w:spacing w:val="0"/>
                <w:kern w:val="0"/>
                <w:sz w:val="21"/>
                <w:szCs w:val="21"/>
              </w:rPr>
            </w:pPr>
          </w:p>
        </w:tc>
        <w:tc>
          <w:tcPr>
            <w:tcW w:w="473" w:type="pct"/>
            <w:vMerge w:val="continue"/>
            <w:noWrap w:val="0"/>
            <w:tcMar>
              <w:top w:w="12" w:type="dxa"/>
              <w:left w:w="12" w:type="dxa"/>
              <w:right w:w="12" w:type="dxa"/>
            </w:tcMar>
            <w:vAlign w:val="center"/>
          </w:tcPr>
          <w:p w14:paraId="477B0C95">
            <w:pPr>
              <w:spacing w:line="360" w:lineRule="exact"/>
              <w:jc w:val="left"/>
              <w:rPr>
                <w:rFonts w:hint="eastAsia" w:ascii="仿宋_GB2312" w:hAnsi="仿宋_GB2312" w:eastAsia="仿宋_GB2312" w:cs="仿宋_GB2312"/>
                <w:snapToGrid w:val="0"/>
                <w:color w:val="auto"/>
                <w:spacing w:val="0"/>
                <w:kern w:val="0"/>
                <w:sz w:val="21"/>
                <w:szCs w:val="21"/>
              </w:rPr>
            </w:pPr>
          </w:p>
        </w:tc>
        <w:tc>
          <w:tcPr>
            <w:tcW w:w="2147" w:type="pct"/>
            <w:noWrap w:val="0"/>
            <w:tcMar>
              <w:top w:w="12" w:type="dxa"/>
              <w:left w:w="12" w:type="dxa"/>
              <w:right w:w="12" w:type="dxa"/>
            </w:tcMar>
            <w:vAlign w:val="center"/>
          </w:tcPr>
          <w:p w14:paraId="1E1F715F">
            <w:pPr>
              <w:widowControl/>
              <w:spacing w:line="360" w:lineRule="exact"/>
              <w:jc w:val="left"/>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经查发现地震安全性评价报告实际编写人与签章人员不符</w:t>
            </w:r>
          </w:p>
        </w:tc>
        <w:tc>
          <w:tcPr>
            <w:tcW w:w="583" w:type="pct"/>
            <w:noWrap w:val="0"/>
            <w:tcMar>
              <w:top w:w="12" w:type="dxa"/>
              <w:left w:w="12" w:type="dxa"/>
              <w:right w:w="12" w:type="dxa"/>
            </w:tcMar>
            <w:vAlign w:val="center"/>
          </w:tcPr>
          <w:p w14:paraId="31D4E723">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eastAsia="zh-CN"/>
              </w:rPr>
              <w:t>每次扣</w:t>
            </w:r>
            <w:r>
              <w:rPr>
                <w:rFonts w:hint="eastAsia" w:ascii="仿宋_GB2312" w:hAnsi="仿宋_GB2312" w:eastAsia="仿宋_GB2312" w:cs="仿宋_GB2312"/>
                <w:snapToGrid w:val="0"/>
                <w:color w:val="auto"/>
                <w:spacing w:val="0"/>
                <w:kern w:val="0"/>
                <w:sz w:val="21"/>
                <w:szCs w:val="21"/>
                <w:lang w:val="en-US" w:eastAsia="zh-CN"/>
              </w:rPr>
              <w:t>10分</w:t>
            </w:r>
          </w:p>
        </w:tc>
        <w:tc>
          <w:tcPr>
            <w:tcW w:w="1175" w:type="pct"/>
            <w:noWrap w:val="0"/>
            <w:tcMar>
              <w:top w:w="12" w:type="dxa"/>
              <w:left w:w="12" w:type="dxa"/>
              <w:right w:w="12" w:type="dxa"/>
            </w:tcMar>
            <w:vAlign w:val="center"/>
          </w:tcPr>
          <w:p w14:paraId="76F40F33">
            <w:pPr>
              <w:widowControl/>
              <w:spacing w:line="360" w:lineRule="exact"/>
              <w:jc w:val="left"/>
              <w:textAlignment w:val="center"/>
              <w:rPr>
                <w:rFonts w:hint="eastAsia" w:ascii="仿宋_GB2312" w:hAnsi="仿宋_GB2312" w:eastAsia="仿宋_GB2312" w:cs="仿宋_GB2312"/>
                <w:snapToGrid w:val="0"/>
                <w:color w:val="auto"/>
                <w:spacing w:val="0"/>
                <w:kern w:val="0"/>
                <w:sz w:val="21"/>
                <w:szCs w:val="21"/>
              </w:rPr>
            </w:pPr>
          </w:p>
        </w:tc>
      </w:tr>
      <w:tr w14:paraId="67A85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06D373B8">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 w:eastAsia="zh-CN"/>
              </w:rPr>
              <w:t>2</w:t>
            </w:r>
            <w:r>
              <w:rPr>
                <w:rFonts w:hint="eastAsia" w:ascii="仿宋_GB2312" w:hAnsi="仿宋_GB2312" w:eastAsia="仿宋_GB2312" w:cs="仿宋_GB2312"/>
                <w:snapToGrid w:val="0"/>
                <w:color w:val="auto"/>
                <w:spacing w:val="0"/>
                <w:kern w:val="0"/>
                <w:sz w:val="21"/>
                <w:szCs w:val="21"/>
                <w:lang w:val="en-US" w:eastAsia="zh-CN"/>
              </w:rPr>
              <w:t>5</w:t>
            </w:r>
          </w:p>
        </w:tc>
        <w:tc>
          <w:tcPr>
            <w:tcW w:w="318" w:type="pct"/>
            <w:vMerge w:val="continue"/>
            <w:noWrap w:val="0"/>
            <w:tcMar>
              <w:top w:w="12" w:type="dxa"/>
              <w:left w:w="12" w:type="dxa"/>
              <w:right w:w="12" w:type="dxa"/>
            </w:tcMar>
            <w:vAlign w:val="center"/>
          </w:tcPr>
          <w:p w14:paraId="3B77AC0D">
            <w:pPr>
              <w:spacing w:line="360" w:lineRule="exact"/>
              <w:jc w:val="center"/>
              <w:rPr>
                <w:rFonts w:hint="eastAsia" w:ascii="仿宋_GB2312" w:hAnsi="仿宋_GB2312" w:eastAsia="仿宋_GB2312" w:cs="仿宋_GB2312"/>
                <w:snapToGrid w:val="0"/>
                <w:color w:val="auto"/>
                <w:spacing w:val="0"/>
                <w:kern w:val="0"/>
                <w:sz w:val="21"/>
                <w:szCs w:val="21"/>
              </w:rPr>
            </w:pPr>
          </w:p>
        </w:tc>
        <w:tc>
          <w:tcPr>
            <w:tcW w:w="473" w:type="pct"/>
            <w:vMerge w:val="continue"/>
            <w:noWrap w:val="0"/>
            <w:tcMar>
              <w:top w:w="12" w:type="dxa"/>
              <w:left w:w="12" w:type="dxa"/>
              <w:right w:w="12" w:type="dxa"/>
            </w:tcMar>
            <w:vAlign w:val="center"/>
          </w:tcPr>
          <w:p w14:paraId="7175FA80">
            <w:pPr>
              <w:spacing w:line="360" w:lineRule="exact"/>
              <w:jc w:val="left"/>
              <w:rPr>
                <w:rFonts w:hint="eastAsia" w:ascii="仿宋_GB2312" w:hAnsi="仿宋_GB2312" w:eastAsia="仿宋_GB2312" w:cs="仿宋_GB2312"/>
                <w:snapToGrid w:val="0"/>
                <w:color w:val="auto"/>
                <w:spacing w:val="0"/>
                <w:kern w:val="0"/>
                <w:sz w:val="21"/>
                <w:szCs w:val="21"/>
              </w:rPr>
            </w:pPr>
          </w:p>
        </w:tc>
        <w:tc>
          <w:tcPr>
            <w:tcW w:w="2147" w:type="pct"/>
            <w:noWrap w:val="0"/>
            <w:tcMar>
              <w:top w:w="12" w:type="dxa"/>
              <w:left w:w="12" w:type="dxa"/>
              <w:right w:w="12" w:type="dxa"/>
            </w:tcMar>
            <w:vAlign w:val="center"/>
          </w:tcPr>
          <w:p w14:paraId="730BA95B">
            <w:pPr>
              <w:widowControl/>
              <w:spacing w:line="360" w:lineRule="exact"/>
              <w:jc w:val="left"/>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在技术审查过程中，评价单位总技术负责人和专业技术负责人无故不到场的</w:t>
            </w:r>
          </w:p>
        </w:tc>
        <w:tc>
          <w:tcPr>
            <w:tcW w:w="583" w:type="pct"/>
            <w:noWrap w:val="0"/>
            <w:tcMar>
              <w:top w:w="12" w:type="dxa"/>
              <w:left w:w="12" w:type="dxa"/>
              <w:right w:w="12" w:type="dxa"/>
            </w:tcMar>
            <w:vAlign w:val="center"/>
          </w:tcPr>
          <w:p w14:paraId="62343B6B">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rPr>
            </w:pPr>
            <w:r>
              <w:rPr>
                <w:rFonts w:hint="eastAsia" w:ascii="仿宋_GB2312" w:hAnsi="仿宋_GB2312" w:eastAsia="仿宋_GB2312" w:cs="仿宋_GB2312"/>
                <w:snapToGrid w:val="0"/>
                <w:color w:val="auto"/>
                <w:spacing w:val="0"/>
                <w:kern w:val="0"/>
                <w:sz w:val="21"/>
                <w:szCs w:val="21"/>
                <w:lang w:eastAsia="zh-CN"/>
              </w:rPr>
              <w:t>每次扣</w:t>
            </w:r>
            <w:r>
              <w:rPr>
                <w:rFonts w:hint="eastAsia" w:ascii="仿宋_GB2312" w:hAnsi="仿宋_GB2312" w:eastAsia="仿宋_GB2312" w:cs="仿宋_GB2312"/>
                <w:snapToGrid w:val="0"/>
                <w:color w:val="auto"/>
                <w:spacing w:val="0"/>
                <w:kern w:val="0"/>
                <w:sz w:val="21"/>
                <w:szCs w:val="21"/>
                <w:lang w:val="en-US" w:eastAsia="zh-CN"/>
              </w:rPr>
              <w:t>2分</w:t>
            </w:r>
          </w:p>
        </w:tc>
        <w:tc>
          <w:tcPr>
            <w:tcW w:w="1175" w:type="pct"/>
            <w:noWrap w:val="0"/>
            <w:tcMar>
              <w:top w:w="12" w:type="dxa"/>
              <w:left w:w="12" w:type="dxa"/>
              <w:right w:w="12" w:type="dxa"/>
            </w:tcMar>
            <w:vAlign w:val="center"/>
          </w:tcPr>
          <w:p w14:paraId="50330FFC">
            <w:pPr>
              <w:widowControl/>
              <w:spacing w:line="360" w:lineRule="exact"/>
              <w:jc w:val="left"/>
              <w:textAlignment w:val="center"/>
              <w:rPr>
                <w:rFonts w:hint="eastAsia" w:ascii="仿宋_GB2312" w:hAnsi="仿宋_GB2312" w:eastAsia="仿宋_GB2312" w:cs="仿宋_GB2312"/>
                <w:snapToGrid w:val="0"/>
                <w:color w:val="auto"/>
                <w:spacing w:val="0"/>
                <w:kern w:val="0"/>
                <w:sz w:val="21"/>
                <w:szCs w:val="21"/>
              </w:rPr>
            </w:pPr>
          </w:p>
        </w:tc>
      </w:tr>
      <w:tr w14:paraId="18A85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7C2ADBF9">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 w:eastAsia="zh-CN"/>
              </w:rPr>
              <w:t>2</w:t>
            </w:r>
            <w:r>
              <w:rPr>
                <w:rFonts w:hint="eastAsia" w:ascii="仿宋_GB2312" w:hAnsi="仿宋_GB2312" w:eastAsia="仿宋_GB2312" w:cs="仿宋_GB2312"/>
                <w:snapToGrid w:val="0"/>
                <w:color w:val="auto"/>
                <w:spacing w:val="0"/>
                <w:kern w:val="0"/>
                <w:sz w:val="21"/>
                <w:szCs w:val="21"/>
                <w:lang w:val="en-US" w:eastAsia="zh-CN"/>
              </w:rPr>
              <w:t>6</w:t>
            </w:r>
          </w:p>
        </w:tc>
        <w:tc>
          <w:tcPr>
            <w:tcW w:w="318" w:type="pct"/>
            <w:vMerge w:val="continue"/>
            <w:noWrap w:val="0"/>
            <w:tcMar>
              <w:top w:w="12" w:type="dxa"/>
              <w:left w:w="12" w:type="dxa"/>
              <w:right w:w="12" w:type="dxa"/>
            </w:tcMar>
            <w:vAlign w:val="center"/>
          </w:tcPr>
          <w:p w14:paraId="074C8E84">
            <w:pPr>
              <w:spacing w:line="360" w:lineRule="exact"/>
              <w:jc w:val="center"/>
              <w:rPr>
                <w:rFonts w:hint="eastAsia" w:ascii="仿宋_GB2312" w:hAnsi="仿宋_GB2312" w:eastAsia="仿宋_GB2312" w:cs="仿宋_GB2312"/>
                <w:snapToGrid w:val="0"/>
                <w:color w:val="auto"/>
                <w:spacing w:val="0"/>
                <w:kern w:val="0"/>
                <w:sz w:val="21"/>
                <w:szCs w:val="21"/>
              </w:rPr>
            </w:pPr>
          </w:p>
        </w:tc>
        <w:tc>
          <w:tcPr>
            <w:tcW w:w="473" w:type="pct"/>
            <w:vMerge w:val="continue"/>
            <w:noWrap w:val="0"/>
            <w:tcMar>
              <w:top w:w="12" w:type="dxa"/>
              <w:left w:w="12" w:type="dxa"/>
              <w:right w:w="12" w:type="dxa"/>
            </w:tcMar>
            <w:vAlign w:val="center"/>
          </w:tcPr>
          <w:p w14:paraId="212D9A55">
            <w:pPr>
              <w:spacing w:line="360" w:lineRule="exact"/>
              <w:jc w:val="left"/>
              <w:rPr>
                <w:rFonts w:hint="eastAsia" w:ascii="仿宋_GB2312" w:hAnsi="仿宋_GB2312" w:eastAsia="仿宋_GB2312" w:cs="仿宋_GB2312"/>
                <w:snapToGrid w:val="0"/>
                <w:color w:val="auto"/>
                <w:spacing w:val="0"/>
                <w:kern w:val="0"/>
                <w:sz w:val="21"/>
                <w:szCs w:val="21"/>
              </w:rPr>
            </w:pPr>
          </w:p>
        </w:tc>
        <w:tc>
          <w:tcPr>
            <w:tcW w:w="2147" w:type="pct"/>
            <w:noWrap w:val="0"/>
            <w:tcMar>
              <w:top w:w="12" w:type="dxa"/>
              <w:left w:w="12" w:type="dxa"/>
              <w:right w:w="12" w:type="dxa"/>
            </w:tcMar>
            <w:vAlign w:val="center"/>
          </w:tcPr>
          <w:p w14:paraId="176CDC9D">
            <w:pPr>
              <w:widowControl/>
              <w:spacing w:line="360" w:lineRule="exact"/>
              <w:jc w:val="left"/>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在中国</w:t>
            </w:r>
            <w:r>
              <w:rPr>
                <w:rFonts w:hint="eastAsia" w:ascii="仿宋_GB2312" w:hAnsi="仿宋_GB2312" w:eastAsia="仿宋_GB2312" w:cs="仿宋_GB2312"/>
                <w:snapToGrid w:val="0"/>
                <w:color w:val="auto"/>
                <w:spacing w:val="0"/>
                <w:kern w:val="0"/>
                <w:sz w:val="21"/>
                <w:szCs w:val="21"/>
                <w:lang w:eastAsia="zh-CN"/>
              </w:rPr>
              <w:t>地震</w:t>
            </w:r>
            <w:r>
              <w:rPr>
                <w:rFonts w:hint="eastAsia" w:ascii="仿宋_GB2312" w:hAnsi="仿宋_GB2312" w:eastAsia="仿宋_GB2312" w:cs="仿宋_GB2312"/>
                <w:snapToGrid w:val="0"/>
                <w:color w:val="auto"/>
                <w:spacing w:val="0"/>
                <w:kern w:val="0"/>
                <w:sz w:val="21"/>
                <w:szCs w:val="21"/>
              </w:rPr>
              <w:t>局组织的报告抽查检查工作中，</w:t>
            </w:r>
            <w:r>
              <w:rPr>
                <w:rFonts w:hint="eastAsia" w:ascii="仿宋_GB2312" w:hAnsi="仿宋_GB2312" w:eastAsia="仿宋_GB2312" w:cs="仿宋_GB2312"/>
                <w:snapToGrid w:val="0"/>
                <w:color w:val="auto"/>
                <w:spacing w:val="0"/>
                <w:kern w:val="0"/>
                <w:sz w:val="21"/>
                <w:szCs w:val="21"/>
                <w:lang w:eastAsia="zh-CN"/>
              </w:rPr>
              <w:t>发现</w:t>
            </w:r>
            <w:r>
              <w:rPr>
                <w:rFonts w:hint="eastAsia" w:ascii="仿宋_GB2312" w:hAnsi="仿宋_GB2312" w:eastAsia="仿宋_GB2312" w:cs="仿宋_GB2312"/>
                <w:snapToGrid w:val="0"/>
                <w:color w:val="auto"/>
                <w:spacing w:val="0"/>
                <w:kern w:val="0"/>
                <w:sz w:val="21"/>
                <w:szCs w:val="21"/>
              </w:rPr>
              <w:t>安评单位</w:t>
            </w:r>
            <w:r>
              <w:rPr>
                <w:rFonts w:hint="eastAsia" w:ascii="仿宋_GB2312" w:hAnsi="仿宋_GB2312" w:eastAsia="仿宋_GB2312" w:cs="仿宋_GB2312"/>
                <w:snapToGrid w:val="0"/>
                <w:color w:val="auto"/>
                <w:spacing w:val="0"/>
                <w:kern w:val="0"/>
                <w:sz w:val="21"/>
                <w:szCs w:val="21"/>
                <w:lang w:eastAsia="zh-CN"/>
              </w:rPr>
              <w:t>存在</w:t>
            </w:r>
            <w:r>
              <w:rPr>
                <w:rFonts w:hint="eastAsia" w:ascii="仿宋_GB2312" w:hAnsi="仿宋_GB2312" w:eastAsia="仿宋_GB2312" w:cs="仿宋_GB2312"/>
                <w:snapToGrid w:val="0"/>
                <w:color w:val="auto"/>
                <w:spacing w:val="0"/>
                <w:kern w:val="0"/>
                <w:sz w:val="21"/>
                <w:szCs w:val="21"/>
              </w:rPr>
              <w:t>不合格报告的</w:t>
            </w:r>
          </w:p>
        </w:tc>
        <w:tc>
          <w:tcPr>
            <w:tcW w:w="583" w:type="pct"/>
            <w:noWrap w:val="0"/>
            <w:tcMar>
              <w:top w:w="12" w:type="dxa"/>
              <w:left w:w="12" w:type="dxa"/>
              <w:right w:w="12" w:type="dxa"/>
            </w:tcMar>
            <w:vAlign w:val="center"/>
          </w:tcPr>
          <w:p w14:paraId="0257F2C9">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rPr>
            </w:pPr>
            <w:r>
              <w:rPr>
                <w:rFonts w:hint="eastAsia" w:ascii="仿宋_GB2312" w:hAnsi="仿宋_GB2312" w:eastAsia="仿宋_GB2312" w:cs="仿宋_GB2312"/>
                <w:snapToGrid w:val="0"/>
                <w:color w:val="auto"/>
                <w:spacing w:val="0"/>
                <w:kern w:val="0"/>
                <w:sz w:val="21"/>
                <w:szCs w:val="21"/>
                <w:lang w:eastAsia="zh-CN"/>
              </w:rPr>
              <w:t>每次扣</w:t>
            </w:r>
            <w:r>
              <w:rPr>
                <w:rFonts w:hint="eastAsia" w:ascii="仿宋_GB2312" w:hAnsi="仿宋_GB2312" w:eastAsia="仿宋_GB2312" w:cs="仿宋_GB2312"/>
                <w:snapToGrid w:val="0"/>
                <w:color w:val="auto"/>
                <w:spacing w:val="0"/>
                <w:kern w:val="0"/>
                <w:sz w:val="21"/>
                <w:szCs w:val="21"/>
                <w:lang w:val="en-US" w:eastAsia="zh-CN"/>
              </w:rPr>
              <w:t>2分</w:t>
            </w:r>
          </w:p>
        </w:tc>
        <w:tc>
          <w:tcPr>
            <w:tcW w:w="1175" w:type="pct"/>
            <w:noWrap w:val="0"/>
            <w:tcMar>
              <w:top w:w="12" w:type="dxa"/>
              <w:left w:w="12" w:type="dxa"/>
              <w:right w:w="12" w:type="dxa"/>
            </w:tcMar>
            <w:vAlign w:val="center"/>
          </w:tcPr>
          <w:p w14:paraId="3350E942">
            <w:pPr>
              <w:widowControl/>
              <w:spacing w:line="360" w:lineRule="exact"/>
              <w:jc w:val="left"/>
              <w:textAlignment w:val="center"/>
              <w:rPr>
                <w:rFonts w:hint="eastAsia" w:ascii="仿宋_GB2312" w:hAnsi="仿宋_GB2312" w:eastAsia="仿宋_GB2312" w:cs="仿宋_GB2312"/>
                <w:snapToGrid w:val="0"/>
                <w:color w:val="auto"/>
                <w:spacing w:val="0"/>
                <w:kern w:val="0"/>
                <w:sz w:val="21"/>
                <w:szCs w:val="21"/>
              </w:rPr>
            </w:pPr>
          </w:p>
        </w:tc>
      </w:tr>
      <w:tr w14:paraId="52F54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7C427E14">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rPr>
              <w:t>27</w:t>
            </w:r>
          </w:p>
        </w:tc>
        <w:tc>
          <w:tcPr>
            <w:tcW w:w="318" w:type="pct"/>
            <w:vMerge w:val="continue"/>
            <w:noWrap w:val="0"/>
            <w:tcMar>
              <w:top w:w="12" w:type="dxa"/>
              <w:left w:w="12" w:type="dxa"/>
              <w:right w:w="12" w:type="dxa"/>
            </w:tcMar>
            <w:vAlign w:val="center"/>
          </w:tcPr>
          <w:p w14:paraId="7BA0A92F">
            <w:pPr>
              <w:spacing w:line="360" w:lineRule="exact"/>
              <w:jc w:val="center"/>
              <w:rPr>
                <w:rFonts w:hint="eastAsia" w:ascii="仿宋_GB2312" w:hAnsi="仿宋_GB2312" w:eastAsia="仿宋_GB2312" w:cs="仿宋_GB2312"/>
                <w:snapToGrid w:val="0"/>
                <w:color w:val="auto"/>
                <w:spacing w:val="0"/>
                <w:kern w:val="0"/>
                <w:sz w:val="21"/>
                <w:szCs w:val="21"/>
              </w:rPr>
            </w:pPr>
          </w:p>
        </w:tc>
        <w:tc>
          <w:tcPr>
            <w:tcW w:w="473" w:type="pct"/>
            <w:vMerge w:val="continue"/>
            <w:noWrap w:val="0"/>
            <w:tcMar>
              <w:top w:w="12" w:type="dxa"/>
              <w:left w:w="12" w:type="dxa"/>
              <w:right w:w="12" w:type="dxa"/>
            </w:tcMar>
            <w:vAlign w:val="center"/>
          </w:tcPr>
          <w:p w14:paraId="717F678A">
            <w:pPr>
              <w:spacing w:line="360" w:lineRule="exact"/>
              <w:jc w:val="left"/>
              <w:rPr>
                <w:rFonts w:hint="eastAsia" w:ascii="仿宋_GB2312" w:hAnsi="仿宋_GB2312" w:eastAsia="仿宋_GB2312" w:cs="仿宋_GB2312"/>
                <w:snapToGrid w:val="0"/>
                <w:color w:val="auto"/>
                <w:spacing w:val="0"/>
                <w:kern w:val="0"/>
                <w:sz w:val="21"/>
                <w:szCs w:val="21"/>
              </w:rPr>
            </w:pPr>
          </w:p>
        </w:tc>
        <w:tc>
          <w:tcPr>
            <w:tcW w:w="2147" w:type="pct"/>
            <w:noWrap w:val="0"/>
            <w:tcMar>
              <w:top w:w="12" w:type="dxa"/>
              <w:left w:w="12" w:type="dxa"/>
              <w:right w:w="12" w:type="dxa"/>
            </w:tcMar>
            <w:vAlign w:val="center"/>
          </w:tcPr>
          <w:p w14:paraId="42B96949">
            <w:pPr>
              <w:widowControl/>
              <w:spacing w:line="360" w:lineRule="exact"/>
              <w:jc w:val="left"/>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在中国</w:t>
            </w:r>
            <w:r>
              <w:rPr>
                <w:rFonts w:hint="eastAsia" w:ascii="仿宋_GB2312" w:hAnsi="仿宋_GB2312" w:eastAsia="仿宋_GB2312" w:cs="仿宋_GB2312"/>
                <w:snapToGrid w:val="0"/>
                <w:color w:val="auto"/>
                <w:spacing w:val="0"/>
                <w:kern w:val="0"/>
                <w:sz w:val="21"/>
                <w:szCs w:val="21"/>
                <w:lang w:eastAsia="zh-CN"/>
              </w:rPr>
              <w:t>地震</w:t>
            </w:r>
            <w:r>
              <w:rPr>
                <w:rFonts w:hint="eastAsia" w:ascii="仿宋_GB2312" w:hAnsi="仿宋_GB2312" w:eastAsia="仿宋_GB2312" w:cs="仿宋_GB2312"/>
                <w:snapToGrid w:val="0"/>
                <w:color w:val="auto"/>
                <w:spacing w:val="0"/>
                <w:kern w:val="0"/>
                <w:sz w:val="21"/>
                <w:szCs w:val="21"/>
              </w:rPr>
              <w:t>局组织的报告抽查检查工作中，</w:t>
            </w:r>
            <w:r>
              <w:rPr>
                <w:rFonts w:hint="eastAsia" w:ascii="仿宋_GB2312" w:hAnsi="仿宋_GB2312" w:eastAsia="仿宋_GB2312" w:cs="仿宋_GB2312"/>
                <w:snapToGrid w:val="0"/>
                <w:color w:val="auto"/>
                <w:spacing w:val="0"/>
                <w:kern w:val="0"/>
                <w:sz w:val="21"/>
                <w:szCs w:val="21"/>
                <w:lang w:eastAsia="zh-CN"/>
              </w:rPr>
              <w:t>发现</w:t>
            </w:r>
            <w:r>
              <w:rPr>
                <w:rFonts w:hint="eastAsia" w:ascii="仿宋_GB2312" w:hAnsi="仿宋_GB2312" w:eastAsia="仿宋_GB2312" w:cs="仿宋_GB2312"/>
                <w:snapToGrid w:val="0"/>
                <w:color w:val="auto"/>
                <w:spacing w:val="0"/>
                <w:kern w:val="0"/>
                <w:sz w:val="21"/>
                <w:szCs w:val="21"/>
              </w:rPr>
              <w:t>安评单位</w:t>
            </w:r>
            <w:r>
              <w:rPr>
                <w:rFonts w:hint="eastAsia" w:ascii="仿宋_GB2312" w:hAnsi="仿宋_GB2312" w:eastAsia="仿宋_GB2312" w:cs="仿宋_GB2312"/>
                <w:snapToGrid w:val="0"/>
                <w:color w:val="auto"/>
                <w:spacing w:val="0"/>
                <w:kern w:val="0"/>
                <w:sz w:val="21"/>
                <w:szCs w:val="21"/>
                <w:lang w:eastAsia="zh-CN"/>
              </w:rPr>
              <w:t>存在质量较差</w:t>
            </w:r>
            <w:r>
              <w:rPr>
                <w:rFonts w:hint="eastAsia" w:ascii="仿宋_GB2312" w:hAnsi="仿宋_GB2312" w:eastAsia="仿宋_GB2312" w:cs="仿宋_GB2312"/>
                <w:snapToGrid w:val="0"/>
                <w:color w:val="auto"/>
                <w:spacing w:val="0"/>
                <w:kern w:val="0"/>
                <w:sz w:val="21"/>
                <w:szCs w:val="21"/>
              </w:rPr>
              <w:t>报告的</w:t>
            </w:r>
          </w:p>
        </w:tc>
        <w:tc>
          <w:tcPr>
            <w:tcW w:w="583" w:type="pct"/>
            <w:noWrap w:val="0"/>
            <w:tcMar>
              <w:top w:w="12" w:type="dxa"/>
              <w:left w:w="12" w:type="dxa"/>
              <w:right w:w="12" w:type="dxa"/>
            </w:tcMar>
            <w:vAlign w:val="center"/>
          </w:tcPr>
          <w:p w14:paraId="737CB8AE">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rPr>
            </w:pPr>
            <w:r>
              <w:rPr>
                <w:rFonts w:hint="eastAsia" w:ascii="仿宋_GB2312" w:hAnsi="仿宋_GB2312" w:eastAsia="仿宋_GB2312" w:cs="仿宋_GB2312"/>
                <w:snapToGrid w:val="0"/>
                <w:color w:val="auto"/>
                <w:spacing w:val="0"/>
                <w:kern w:val="0"/>
                <w:sz w:val="21"/>
                <w:szCs w:val="21"/>
                <w:lang w:eastAsia="zh-CN"/>
              </w:rPr>
              <w:t>每次扣</w:t>
            </w:r>
            <w:r>
              <w:rPr>
                <w:rFonts w:hint="eastAsia" w:ascii="仿宋_GB2312" w:hAnsi="仿宋_GB2312" w:eastAsia="仿宋_GB2312" w:cs="仿宋_GB2312"/>
                <w:snapToGrid w:val="0"/>
                <w:color w:val="auto"/>
                <w:spacing w:val="0"/>
                <w:kern w:val="0"/>
                <w:sz w:val="21"/>
                <w:szCs w:val="21"/>
                <w:lang w:val="en-US" w:eastAsia="zh-CN"/>
              </w:rPr>
              <w:t>1分</w:t>
            </w:r>
          </w:p>
        </w:tc>
        <w:tc>
          <w:tcPr>
            <w:tcW w:w="1175" w:type="pct"/>
            <w:noWrap w:val="0"/>
            <w:tcMar>
              <w:top w:w="12" w:type="dxa"/>
              <w:left w:w="12" w:type="dxa"/>
              <w:right w:w="12" w:type="dxa"/>
            </w:tcMar>
            <w:vAlign w:val="center"/>
          </w:tcPr>
          <w:p w14:paraId="4CD96DCB">
            <w:pPr>
              <w:widowControl/>
              <w:spacing w:line="360" w:lineRule="exact"/>
              <w:jc w:val="left"/>
              <w:textAlignment w:val="center"/>
              <w:rPr>
                <w:rFonts w:hint="eastAsia" w:ascii="仿宋_GB2312" w:hAnsi="仿宋_GB2312" w:eastAsia="仿宋_GB2312" w:cs="仿宋_GB2312"/>
                <w:snapToGrid w:val="0"/>
                <w:color w:val="auto"/>
                <w:spacing w:val="0"/>
                <w:kern w:val="0"/>
                <w:sz w:val="21"/>
                <w:szCs w:val="21"/>
              </w:rPr>
            </w:pPr>
          </w:p>
        </w:tc>
      </w:tr>
      <w:tr w14:paraId="36101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6F5889F1">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rPr>
            </w:pPr>
            <w:r>
              <w:rPr>
                <w:rFonts w:hint="eastAsia" w:ascii="仿宋_GB2312" w:hAnsi="仿宋_GB2312" w:eastAsia="仿宋_GB2312" w:cs="仿宋_GB2312"/>
                <w:snapToGrid w:val="0"/>
                <w:color w:val="auto"/>
                <w:spacing w:val="0"/>
                <w:kern w:val="0"/>
                <w:sz w:val="21"/>
                <w:szCs w:val="21"/>
                <w:lang w:val="en-US" w:eastAsia="zh-CN"/>
              </w:rPr>
              <w:t>28</w:t>
            </w:r>
          </w:p>
        </w:tc>
        <w:tc>
          <w:tcPr>
            <w:tcW w:w="318" w:type="pct"/>
            <w:vMerge w:val="continue"/>
            <w:noWrap w:val="0"/>
            <w:tcMar>
              <w:top w:w="12" w:type="dxa"/>
              <w:left w:w="12" w:type="dxa"/>
              <w:right w:w="12" w:type="dxa"/>
            </w:tcMar>
            <w:vAlign w:val="center"/>
          </w:tcPr>
          <w:p w14:paraId="43A3F03B">
            <w:pPr>
              <w:spacing w:line="360" w:lineRule="exact"/>
              <w:jc w:val="center"/>
              <w:rPr>
                <w:rFonts w:hint="eastAsia" w:ascii="仿宋_GB2312" w:hAnsi="仿宋_GB2312" w:eastAsia="仿宋_GB2312" w:cs="仿宋_GB2312"/>
                <w:snapToGrid w:val="0"/>
                <w:color w:val="auto"/>
                <w:spacing w:val="0"/>
                <w:kern w:val="0"/>
                <w:sz w:val="21"/>
                <w:szCs w:val="21"/>
              </w:rPr>
            </w:pPr>
          </w:p>
        </w:tc>
        <w:tc>
          <w:tcPr>
            <w:tcW w:w="473" w:type="pct"/>
            <w:noWrap w:val="0"/>
            <w:tcMar>
              <w:top w:w="12" w:type="dxa"/>
              <w:left w:w="12" w:type="dxa"/>
              <w:right w:w="12" w:type="dxa"/>
            </w:tcMar>
            <w:vAlign w:val="center"/>
          </w:tcPr>
          <w:p w14:paraId="684C5966">
            <w:pPr>
              <w:tabs>
                <w:tab w:val="center" w:pos="4153"/>
                <w:tab w:val="right" w:pos="8306"/>
              </w:tabs>
              <w:spacing w:line="360" w:lineRule="exact"/>
              <w:jc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经营服务</w:t>
            </w:r>
          </w:p>
        </w:tc>
        <w:tc>
          <w:tcPr>
            <w:tcW w:w="2147" w:type="pct"/>
            <w:noWrap w:val="0"/>
            <w:tcMar>
              <w:top w:w="12" w:type="dxa"/>
              <w:left w:w="12" w:type="dxa"/>
              <w:right w:w="12" w:type="dxa"/>
            </w:tcMar>
            <w:vAlign w:val="center"/>
          </w:tcPr>
          <w:p w14:paraId="07BABDE7">
            <w:pPr>
              <w:widowControl/>
              <w:spacing w:line="360" w:lineRule="exact"/>
              <w:jc w:val="left"/>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无特殊原因，未按照合同规定期限按期完成工作</w:t>
            </w:r>
          </w:p>
        </w:tc>
        <w:tc>
          <w:tcPr>
            <w:tcW w:w="583" w:type="pct"/>
            <w:noWrap w:val="0"/>
            <w:tcMar>
              <w:top w:w="12" w:type="dxa"/>
              <w:left w:w="12" w:type="dxa"/>
              <w:right w:w="12" w:type="dxa"/>
            </w:tcMar>
            <w:vAlign w:val="center"/>
          </w:tcPr>
          <w:p w14:paraId="13F3B54C">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eastAsia="zh-CN"/>
              </w:rPr>
            </w:pPr>
            <w:r>
              <w:rPr>
                <w:rFonts w:hint="eastAsia" w:ascii="仿宋_GB2312" w:hAnsi="仿宋_GB2312" w:eastAsia="仿宋_GB2312" w:cs="仿宋_GB2312"/>
                <w:snapToGrid w:val="0"/>
                <w:color w:val="auto"/>
                <w:spacing w:val="0"/>
                <w:kern w:val="0"/>
                <w:sz w:val="21"/>
                <w:szCs w:val="21"/>
              </w:rPr>
              <w:t>每次扣5分</w:t>
            </w:r>
          </w:p>
        </w:tc>
        <w:tc>
          <w:tcPr>
            <w:tcW w:w="1175" w:type="pct"/>
            <w:noWrap w:val="0"/>
            <w:tcMar>
              <w:top w:w="12" w:type="dxa"/>
              <w:left w:w="12" w:type="dxa"/>
              <w:right w:w="12" w:type="dxa"/>
            </w:tcMar>
            <w:vAlign w:val="center"/>
          </w:tcPr>
          <w:p w14:paraId="17D5F5C5">
            <w:pPr>
              <w:widowControl/>
              <w:spacing w:line="360" w:lineRule="exact"/>
              <w:jc w:val="left"/>
              <w:textAlignment w:val="center"/>
              <w:rPr>
                <w:rFonts w:hint="eastAsia" w:ascii="仿宋_GB2312" w:hAnsi="仿宋_GB2312" w:eastAsia="仿宋_GB2312" w:cs="仿宋_GB2312"/>
                <w:snapToGrid w:val="0"/>
                <w:color w:val="auto"/>
                <w:spacing w:val="0"/>
                <w:kern w:val="0"/>
                <w:sz w:val="21"/>
                <w:szCs w:val="21"/>
              </w:rPr>
            </w:pPr>
          </w:p>
        </w:tc>
      </w:tr>
      <w:tr w14:paraId="270E8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23F62F9C">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bidi="ar-SA"/>
              </w:rPr>
              <w:t>29</w:t>
            </w:r>
          </w:p>
        </w:tc>
        <w:tc>
          <w:tcPr>
            <w:tcW w:w="318" w:type="pct"/>
            <w:vMerge w:val="continue"/>
            <w:noWrap w:val="0"/>
            <w:tcMar>
              <w:top w:w="12" w:type="dxa"/>
              <w:left w:w="12" w:type="dxa"/>
              <w:right w:w="12" w:type="dxa"/>
            </w:tcMar>
            <w:vAlign w:val="center"/>
          </w:tcPr>
          <w:p w14:paraId="044800C5">
            <w:pPr>
              <w:spacing w:line="360" w:lineRule="exact"/>
              <w:jc w:val="center"/>
              <w:rPr>
                <w:rFonts w:hint="eastAsia" w:ascii="仿宋_GB2312" w:hAnsi="仿宋_GB2312" w:eastAsia="仿宋_GB2312" w:cs="仿宋_GB2312"/>
                <w:snapToGrid w:val="0"/>
                <w:color w:val="auto"/>
                <w:spacing w:val="0"/>
                <w:kern w:val="0"/>
                <w:sz w:val="21"/>
                <w:szCs w:val="21"/>
              </w:rPr>
            </w:pPr>
          </w:p>
        </w:tc>
        <w:tc>
          <w:tcPr>
            <w:tcW w:w="473" w:type="pct"/>
            <w:noWrap w:val="0"/>
            <w:tcMar>
              <w:top w:w="12" w:type="dxa"/>
              <w:left w:w="12" w:type="dxa"/>
              <w:right w:w="12" w:type="dxa"/>
            </w:tcMar>
            <w:vAlign w:val="center"/>
          </w:tcPr>
          <w:p w14:paraId="63E57357">
            <w:pPr>
              <w:tabs>
                <w:tab w:val="center" w:pos="4153"/>
                <w:tab w:val="right" w:pos="8306"/>
              </w:tabs>
              <w:snapToGrid/>
              <w:spacing w:line="360" w:lineRule="exact"/>
              <w:jc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违法行为</w:t>
            </w:r>
          </w:p>
        </w:tc>
        <w:tc>
          <w:tcPr>
            <w:tcW w:w="2147" w:type="pct"/>
            <w:noWrap w:val="0"/>
            <w:tcMar>
              <w:top w:w="12" w:type="dxa"/>
              <w:left w:w="12" w:type="dxa"/>
              <w:right w:w="12" w:type="dxa"/>
            </w:tcMar>
            <w:vAlign w:val="center"/>
          </w:tcPr>
          <w:p w14:paraId="104380F5">
            <w:pPr>
              <w:widowControl/>
              <w:tabs>
                <w:tab w:val="center" w:pos="4153"/>
                <w:tab w:val="right" w:pos="8306"/>
              </w:tabs>
              <w:snapToGrid/>
              <w:spacing w:line="360" w:lineRule="exact"/>
              <w:jc w:val="left"/>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以其他地震安全性评价单位的名义承揽地震安全性评价业务或允许其他单位以本单位名义承揽地震安全性评价业务的</w:t>
            </w:r>
          </w:p>
        </w:tc>
        <w:tc>
          <w:tcPr>
            <w:tcW w:w="583" w:type="pct"/>
            <w:noWrap w:val="0"/>
            <w:tcMar>
              <w:top w:w="12" w:type="dxa"/>
              <w:left w:w="12" w:type="dxa"/>
              <w:right w:w="12" w:type="dxa"/>
            </w:tcMar>
            <w:vAlign w:val="center"/>
          </w:tcPr>
          <w:p w14:paraId="777BA12F">
            <w:pPr>
              <w:widowControl/>
              <w:tabs>
                <w:tab w:val="center" w:pos="4153"/>
                <w:tab w:val="right" w:pos="8306"/>
              </w:tabs>
              <w:snapToGrid/>
              <w:spacing w:line="360" w:lineRule="exact"/>
              <w:jc w:val="center"/>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每次扣30分</w:t>
            </w:r>
          </w:p>
        </w:tc>
        <w:tc>
          <w:tcPr>
            <w:tcW w:w="1175" w:type="pct"/>
            <w:noWrap w:val="0"/>
            <w:tcMar>
              <w:top w:w="12" w:type="dxa"/>
              <w:left w:w="12" w:type="dxa"/>
              <w:right w:w="12" w:type="dxa"/>
            </w:tcMar>
            <w:vAlign w:val="center"/>
          </w:tcPr>
          <w:p w14:paraId="1B0413AF">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rPr>
            </w:pPr>
          </w:p>
        </w:tc>
      </w:tr>
      <w:tr w14:paraId="2BA46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08E564B3">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bidi="ar-SA"/>
              </w:rPr>
              <w:t>30</w:t>
            </w:r>
          </w:p>
        </w:tc>
        <w:tc>
          <w:tcPr>
            <w:tcW w:w="318" w:type="pct"/>
            <w:vMerge w:val="continue"/>
            <w:noWrap w:val="0"/>
            <w:tcMar>
              <w:top w:w="12" w:type="dxa"/>
              <w:left w:w="12" w:type="dxa"/>
              <w:right w:w="12" w:type="dxa"/>
            </w:tcMar>
            <w:vAlign w:val="center"/>
          </w:tcPr>
          <w:p w14:paraId="1C73BAE0">
            <w:pPr>
              <w:spacing w:line="360" w:lineRule="exact"/>
              <w:jc w:val="center"/>
              <w:rPr>
                <w:rFonts w:hint="eastAsia" w:ascii="仿宋_GB2312" w:hAnsi="仿宋_GB2312" w:eastAsia="仿宋_GB2312" w:cs="仿宋_GB2312"/>
                <w:snapToGrid w:val="0"/>
                <w:color w:val="auto"/>
                <w:spacing w:val="0"/>
                <w:kern w:val="0"/>
                <w:sz w:val="21"/>
                <w:szCs w:val="21"/>
              </w:rPr>
            </w:pPr>
          </w:p>
        </w:tc>
        <w:tc>
          <w:tcPr>
            <w:tcW w:w="473" w:type="pct"/>
            <w:vMerge w:val="restart"/>
            <w:noWrap w:val="0"/>
            <w:tcMar>
              <w:top w:w="12" w:type="dxa"/>
              <w:left w:w="12" w:type="dxa"/>
              <w:right w:w="12" w:type="dxa"/>
            </w:tcMar>
            <w:vAlign w:val="center"/>
          </w:tcPr>
          <w:p w14:paraId="4602864B">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安全生产</w:t>
            </w:r>
          </w:p>
        </w:tc>
        <w:tc>
          <w:tcPr>
            <w:tcW w:w="2147" w:type="pct"/>
            <w:noWrap w:val="0"/>
            <w:tcMar>
              <w:top w:w="12" w:type="dxa"/>
              <w:left w:w="12" w:type="dxa"/>
              <w:right w:w="12" w:type="dxa"/>
            </w:tcMar>
            <w:vAlign w:val="center"/>
          </w:tcPr>
          <w:p w14:paraId="0B05494B">
            <w:pPr>
              <w:widowControl/>
              <w:spacing w:line="360" w:lineRule="exact"/>
              <w:jc w:val="left"/>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开展地震安全性评价现场工作时发生较大以上安全事故</w:t>
            </w:r>
          </w:p>
        </w:tc>
        <w:tc>
          <w:tcPr>
            <w:tcW w:w="583" w:type="pct"/>
            <w:noWrap w:val="0"/>
            <w:tcMar>
              <w:top w:w="12" w:type="dxa"/>
              <w:left w:w="12" w:type="dxa"/>
              <w:right w:w="12" w:type="dxa"/>
            </w:tcMar>
            <w:vAlign w:val="center"/>
          </w:tcPr>
          <w:p w14:paraId="66D68FFB">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每次扣30分</w:t>
            </w:r>
          </w:p>
        </w:tc>
        <w:tc>
          <w:tcPr>
            <w:tcW w:w="1175" w:type="pct"/>
            <w:noWrap w:val="0"/>
            <w:tcMar>
              <w:top w:w="12" w:type="dxa"/>
              <w:left w:w="12" w:type="dxa"/>
              <w:right w:w="12" w:type="dxa"/>
            </w:tcMar>
            <w:vAlign w:val="center"/>
          </w:tcPr>
          <w:p w14:paraId="4D18C6C7">
            <w:pPr>
              <w:spacing w:line="360" w:lineRule="exact"/>
              <w:jc w:val="center"/>
              <w:rPr>
                <w:rFonts w:hint="eastAsia" w:ascii="仿宋_GB2312" w:hAnsi="仿宋_GB2312" w:eastAsia="仿宋_GB2312" w:cs="仿宋_GB2312"/>
                <w:snapToGrid w:val="0"/>
                <w:color w:val="auto"/>
                <w:spacing w:val="0"/>
                <w:kern w:val="0"/>
                <w:sz w:val="21"/>
                <w:szCs w:val="21"/>
              </w:rPr>
            </w:pPr>
          </w:p>
        </w:tc>
      </w:tr>
      <w:tr w14:paraId="0AAC7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3CFC6E90">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bidi="ar-SA"/>
              </w:rPr>
              <w:t>31</w:t>
            </w:r>
          </w:p>
        </w:tc>
        <w:tc>
          <w:tcPr>
            <w:tcW w:w="318" w:type="pct"/>
            <w:vMerge w:val="continue"/>
            <w:noWrap w:val="0"/>
            <w:tcMar>
              <w:top w:w="12" w:type="dxa"/>
              <w:left w:w="12" w:type="dxa"/>
              <w:right w:w="12" w:type="dxa"/>
            </w:tcMar>
            <w:vAlign w:val="center"/>
          </w:tcPr>
          <w:p w14:paraId="16C7DFAE">
            <w:pPr>
              <w:spacing w:line="360" w:lineRule="exact"/>
              <w:jc w:val="center"/>
              <w:rPr>
                <w:rFonts w:hint="eastAsia" w:ascii="仿宋_GB2312" w:hAnsi="仿宋_GB2312" w:eastAsia="仿宋_GB2312" w:cs="仿宋_GB2312"/>
                <w:snapToGrid w:val="0"/>
                <w:color w:val="auto"/>
                <w:spacing w:val="0"/>
                <w:kern w:val="0"/>
                <w:sz w:val="21"/>
                <w:szCs w:val="21"/>
              </w:rPr>
            </w:pPr>
          </w:p>
        </w:tc>
        <w:tc>
          <w:tcPr>
            <w:tcW w:w="473" w:type="pct"/>
            <w:vMerge w:val="continue"/>
            <w:noWrap w:val="0"/>
            <w:tcMar>
              <w:top w:w="12" w:type="dxa"/>
              <w:left w:w="12" w:type="dxa"/>
              <w:right w:w="12" w:type="dxa"/>
            </w:tcMar>
            <w:vAlign w:val="center"/>
          </w:tcPr>
          <w:p w14:paraId="5F999E67">
            <w:pPr>
              <w:spacing w:line="360" w:lineRule="exact"/>
              <w:jc w:val="center"/>
              <w:rPr>
                <w:rFonts w:hint="eastAsia" w:ascii="仿宋_GB2312" w:hAnsi="仿宋_GB2312" w:eastAsia="仿宋_GB2312" w:cs="仿宋_GB2312"/>
                <w:snapToGrid w:val="0"/>
                <w:color w:val="auto"/>
                <w:spacing w:val="0"/>
                <w:kern w:val="0"/>
                <w:sz w:val="21"/>
                <w:szCs w:val="21"/>
              </w:rPr>
            </w:pPr>
          </w:p>
        </w:tc>
        <w:tc>
          <w:tcPr>
            <w:tcW w:w="2147" w:type="pct"/>
            <w:noWrap w:val="0"/>
            <w:tcMar>
              <w:top w:w="12" w:type="dxa"/>
              <w:left w:w="12" w:type="dxa"/>
              <w:right w:w="12" w:type="dxa"/>
            </w:tcMar>
            <w:vAlign w:val="center"/>
          </w:tcPr>
          <w:p w14:paraId="2D2052F7">
            <w:pPr>
              <w:widowControl/>
              <w:spacing w:line="360" w:lineRule="exact"/>
              <w:jc w:val="left"/>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开展地震安全性评价现场工作时发生一般安全事故</w:t>
            </w:r>
          </w:p>
        </w:tc>
        <w:tc>
          <w:tcPr>
            <w:tcW w:w="583" w:type="pct"/>
            <w:noWrap w:val="0"/>
            <w:tcMar>
              <w:top w:w="12" w:type="dxa"/>
              <w:left w:w="12" w:type="dxa"/>
              <w:right w:w="12" w:type="dxa"/>
            </w:tcMar>
            <w:vAlign w:val="center"/>
          </w:tcPr>
          <w:p w14:paraId="259A26BE">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每次扣15分</w:t>
            </w:r>
          </w:p>
        </w:tc>
        <w:tc>
          <w:tcPr>
            <w:tcW w:w="1175" w:type="pct"/>
            <w:noWrap w:val="0"/>
            <w:tcMar>
              <w:top w:w="12" w:type="dxa"/>
              <w:left w:w="12" w:type="dxa"/>
              <w:right w:w="12" w:type="dxa"/>
            </w:tcMar>
            <w:vAlign w:val="center"/>
          </w:tcPr>
          <w:p w14:paraId="77CDD1C2">
            <w:pPr>
              <w:spacing w:line="360" w:lineRule="exact"/>
              <w:jc w:val="center"/>
              <w:rPr>
                <w:rFonts w:hint="eastAsia" w:ascii="仿宋_GB2312" w:hAnsi="仿宋_GB2312" w:eastAsia="仿宋_GB2312" w:cs="仿宋_GB2312"/>
                <w:snapToGrid w:val="0"/>
                <w:color w:val="auto"/>
                <w:spacing w:val="0"/>
                <w:kern w:val="0"/>
                <w:sz w:val="21"/>
                <w:szCs w:val="21"/>
              </w:rPr>
            </w:pPr>
          </w:p>
        </w:tc>
      </w:tr>
      <w:tr w14:paraId="229C6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54629BE6">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bidi="ar-SA"/>
              </w:rPr>
              <w:t>32</w:t>
            </w:r>
          </w:p>
        </w:tc>
        <w:tc>
          <w:tcPr>
            <w:tcW w:w="318" w:type="pct"/>
            <w:vMerge w:val="continue"/>
            <w:noWrap w:val="0"/>
            <w:tcMar>
              <w:top w:w="12" w:type="dxa"/>
              <w:left w:w="12" w:type="dxa"/>
              <w:right w:w="12" w:type="dxa"/>
            </w:tcMar>
            <w:vAlign w:val="center"/>
          </w:tcPr>
          <w:p w14:paraId="66E53157">
            <w:pPr>
              <w:spacing w:line="360" w:lineRule="exact"/>
              <w:jc w:val="center"/>
              <w:rPr>
                <w:rFonts w:hint="eastAsia" w:ascii="仿宋_GB2312" w:hAnsi="仿宋_GB2312" w:eastAsia="仿宋_GB2312" w:cs="仿宋_GB2312"/>
                <w:snapToGrid w:val="0"/>
                <w:color w:val="auto"/>
                <w:spacing w:val="0"/>
                <w:kern w:val="0"/>
                <w:sz w:val="21"/>
                <w:szCs w:val="21"/>
              </w:rPr>
            </w:pPr>
          </w:p>
        </w:tc>
        <w:tc>
          <w:tcPr>
            <w:tcW w:w="473" w:type="pct"/>
            <w:noWrap w:val="0"/>
            <w:tcMar>
              <w:top w:w="12" w:type="dxa"/>
              <w:left w:w="12" w:type="dxa"/>
              <w:right w:w="12" w:type="dxa"/>
            </w:tcMar>
            <w:vAlign w:val="center"/>
          </w:tcPr>
          <w:p w14:paraId="7B08DA01">
            <w:pPr>
              <w:spacing w:line="360" w:lineRule="exact"/>
              <w:jc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市场行为</w:t>
            </w:r>
          </w:p>
        </w:tc>
        <w:tc>
          <w:tcPr>
            <w:tcW w:w="2147" w:type="pct"/>
            <w:noWrap w:val="0"/>
            <w:tcMar>
              <w:top w:w="12" w:type="dxa"/>
              <w:left w:w="12" w:type="dxa"/>
              <w:right w:w="12" w:type="dxa"/>
            </w:tcMar>
            <w:vAlign w:val="center"/>
          </w:tcPr>
          <w:p w14:paraId="63F2D4AD">
            <w:pPr>
              <w:widowControl/>
              <w:spacing w:line="360" w:lineRule="exact"/>
              <w:jc w:val="left"/>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被有关部门取消一定期限内参加依法必须进行招标项目投标资格</w:t>
            </w:r>
          </w:p>
        </w:tc>
        <w:tc>
          <w:tcPr>
            <w:tcW w:w="583" w:type="pct"/>
            <w:noWrap w:val="0"/>
            <w:tcMar>
              <w:top w:w="12" w:type="dxa"/>
              <w:left w:w="12" w:type="dxa"/>
              <w:right w:w="12" w:type="dxa"/>
            </w:tcMar>
            <w:vAlign w:val="center"/>
          </w:tcPr>
          <w:p w14:paraId="1A48C4A4">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每次扣</w:t>
            </w:r>
            <w:r>
              <w:rPr>
                <w:rFonts w:hint="eastAsia" w:ascii="仿宋_GB2312" w:hAnsi="仿宋_GB2312" w:eastAsia="仿宋_GB2312" w:cs="仿宋_GB2312"/>
                <w:snapToGrid w:val="0"/>
                <w:color w:val="auto"/>
                <w:spacing w:val="0"/>
                <w:kern w:val="0"/>
                <w:sz w:val="21"/>
                <w:szCs w:val="21"/>
                <w:lang w:val="en-US" w:eastAsia="zh-CN"/>
              </w:rPr>
              <w:t>2</w:t>
            </w:r>
            <w:r>
              <w:rPr>
                <w:rFonts w:hint="eastAsia" w:ascii="仿宋_GB2312" w:hAnsi="仿宋_GB2312" w:eastAsia="仿宋_GB2312" w:cs="仿宋_GB2312"/>
                <w:snapToGrid w:val="0"/>
                <w:color w:val="auto"/>
                <w:spacing w:val="0"/>
                <w:kern w:val="0"/>
                <w:sz w:val="21"/>
                <w:szCs w:val="21"/>
              </w:rPr>
              <w:t>0分</w:t>
            </w:r>
          </w:p>
        </w:tc>
        <w:tc>
          <w:tcPr>
            <w:tcW w:w="1175" w:type="pct"/>
            <w:noWrap w:val="0"/>
            <w:tcMar>
              <w:top w:w="12" w:type="dxa"/>
              <w:left w:w="12" w:type="dxa"/>
              <w:right w:w="12" w:type="dxa"/>
            </w:tcMar>
            <w:vAlign w:val="center"/>
          </w:tcPr>
          <w:p w14:paraId="092524A9">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p>
        </w:tc>
      </w:tr>
      <w:tr w14:paraId="0FD6E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4A5C2FE0">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rPr>
            </w:pPr>
            <w:r>
              <w:rPr>
                <w:rFonts w:hint="eastAsia" w:ascii="仿宋_GB2312" w:hAnsi="仿宋_GB2312" w:eastAsia="仿宋_GB2312" w:cs="仿宋_GB2312"/>
                <w:snapToGrid w:val="0"/>
                <w:color w:val="auto"/>
                <w:spacing w:val="0"/>
                <w:kern w:val="0"/>
                <w:sz w:val="21"/>
                <w:szCs w:val="21"/>
                <w:lang w:val="en-US" w:eastAsia="zh-CN"/>
              </w:rPr>
              <w:t>33</w:t>
            </w:r>
          </w:p>
        </w:tc>
        <w:tc>
          <w:tcPr>
            <w:tcW w:w="318" w:type="pct"/>
            <w:vMerge w:val="continue"/>
            <w:noWrap w:val="0"/>
            <w:tcMar>
              <w:top w:w="12" w:type="dxa"/>
              <w:left w:w="12" w:type="dxa"/>
              <w:right w:w="12" w:type="dxa"/>
            </w:tcMar>
            <w:vAlign w:val="center"/>
          </w:tcPr>
          <w:p w14:paraId="281EFB7B">
            <w:pPr>
              <w:spacing w:line="360" w:lineRule="exact"/>
              <w:jc w:val="center"/>
              <w:rPr>
                <w:rFonts w:hint="eastAsia" w:ascii="仿宋_GB2312" w:hAnsi="仿宋_GB2312" w:eastAsia="仿宋_GB2312" w:cs="仿宋_GB2312"/>
                <w:snapToGrid w:val="0"/>
                <w:color w:val="auto"/>
                <w:spacing w:val="0"/>
                <w:kern w:val="0"/>
                <w:sz w:val="21"/>
                <w:szCs w:val="21"/>
              </w:rPr>
            </w:pPr>
          </w:p>
        </w:tc>
        <w:tc>
          <w:tcPr>
            <w:tcW w:w="473" w:type="pct"/>
            <w:noWrap w:val="0"/>
            <w:tcMar>
              <w:top w:w="12" w:type="dxa"/>
              <w:left w:w="12" w:type="dxa"/>
              <w:right w:w="12" w:type="dxa"/>
            </w:tcMar>
            <w:vAlign w:val="center"/>
          </w:tcPr>
          <w:p w14:paraId="01C0C8F8">
            <w:pPr>
              <w:spacing w:line="360" w:lineRule="exact"/>
              <w:jc w:val="center"/>
              <w:rPr>
                <w:rFonts w:hint="eastAsia" w:ascii="仿宋_GB2312" w:hAnsi="仿宋_GB2312" w:eastAsia="仿宋_GB2312" w:cs="仿宋_GB2312"/>
                <w:snapToGrid w:val="0"/>
                <w:color w:val="auto"/>
                <w:spacing w:val="0"/>
                <w:kern w:val="0"/>
                <w:sz w:val="21"/>
                <w:szCs w:val="21"/>
                <w:lang w:eastAsia="zh-CN"/>
              </w:rPr>
            </w:pPr>
            <w:r>
              <w:rPr>
                <w:rFonts w:hint="eastAsia" w:ascii="仿宋_GB2312" w:hAnsi="仿宋_GB2312" w:eastAsia="仿宋_GB2312" w:cs="仿宋_GB2312"/>
                <w:snapToGrid w:val="0"/>
                <w:color w:val="auto"/>
                <w:spacing w:val="0"/>
                <w:kern w:val="0"/>
                <w:sz w:val="21"/>
                <w:szCs w:val="21"/>
                <w:lang w:eastAsia="zh-CN"/>
              </w:rPr>
              <w:t>其他行为</w:t>
            </w:r>
          </w:p>
        </w:tc>
        <w:tc>
          <w:tcPr>
            <w:tcW w:w="2147" w:type="pct"/>
            <w:noWrap w:val="0"/>
            <w:tcMar>
              <w:top w:w="12" w:type="dxa"/>
              <w:left w:w="12" w:type="dxa"/>
              <w:right w:w="12" w:type="dxa"/>
            </w:tcMar>
            <w:vAlign w:val="center"/>
          </w:tcPr>
          <w:p w14:paraId="09B02931">
            <w:pPr>
              <w:widowControl/>
              <w:spacing w:line="360" w:lineRule="exact"/>
              <w:jc w:val="left"/>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经依法依规认定的其他与地震安全性评价活动有关的违法犯罪行为</w:t>
            </w:r>
          </w:p>
        </w:tc>
        <w:tc>
          <w:tcPr>
            <w:tcW w:w="583" w:type="pct"/>
            <w:noWrap w:val="0"/>
            <w:tcMar>
              <w:top w:w="12" w:type="dxa"/>
              <w:left w:w="12" w:type="dxa"/>
              <w:right w:w="12" w:type="dxa"/>
            </w:tcMar>
            <w:vAlign w:val="center"/>
          </w:tcPr>
          <w:p w14:paraId="289108C2">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每次扣</w:t>
            </w:r>
            <w:r>
              <w:rPr>
                <w:rFonts w:hint="eastAsia" w:ascii="仿宋_GB2312" w:hAnsi="仿宋_GB2312" w:eastAsia="仿宋_GB2312" w:cs="仿宋_GB2312"/>
                <w:snapToGrid w:val="0"/>
                <w:color w:val="auto"/>
                <w:spacing w:val="0"/>
                <w:kern w:val="0"/>
                <w:sz w:val="21"/>
                <w:szCs w:val="21"/>
                <w:lang w:val="en-US" w:eastAsia="zh-CN"/>
              </w:rPr>
              <w:t>3</w:t>
            </w:r>
            <w:r>
              <w:rPr>
                <w:rFonts w:hint="eastAsia" w:ascii="仿宋_GB2312" w:hAnsi="仿宋_GB2312" w:eastAsia="仿宋_GB2312" w:cs="仿宋_GB2312"/>
                <w:snapToGrid w:val="0"/>
                <w:color w:val="auto"/>
                <w:spacing w:val="0"/>
                <w:kern w:val="0"/>
                <w:sz w:val="21"/>
                <w:szCs w:val="21"/>
              </w:rPr>
              <w:t>0分</w:t>
            </w:r>
          </w:p>
        </w:tc>
        <w:tc>
          <w:tcPr>
            <w:tcW w:w="1175" w:type="pct"/>
            <w:noWrap w:val="0"/>
            <w:tcMar>
              <w:top w:w="12" w:type="dxa"/>
              <w:left w:w="12" w:type="dxa"/>
              <w:right w:w="12" w:type="dxa"/>
            </w:tcMar>
            <w:vAlign w:val="center"/>
          </w:tcPr>
          <w:p w14:paraId="030E344B">
            <w:pPr>
              <w:spacing w:line="360" w:lineRule="exact"/>
              <w:jc w:val="center"/>
              <w:rPr>
                <w:rFonts w:hint="eastAsia" w:ascii="仿宋_GB2312" w:hAnsi="仿宋_GB2312" w:eastAsia="仿宋_GB2312" w:cs="仿宋_GB2312"/>
                <w:snapToGrid w:val="0"/>
                <w:color w:val="auto"/>
                <w:spacing w:val="0"/>
                <w:kern w:val="0"/>
                <w:sz w:val="21"/>
                <w:szCs w:val="21"/>
              </w:rPr>
            </w:pPr>
          </w:p>
        </w:tc>
      </w:tr>
    </w:tbl>
    <w:p w14:paraId="206EF136">
      <w:pPr>
        <w:pStyle w:val="5"/>
        <w:widowControl w:val="0"/>
        <w:spacing w:line="420" w:lineRule="exact"/>
        <w:ind w:firstLine="0" w:firstLineChars="0"/>
        <w:jc w:val="both"/>
        <w:rPr>
          <w:rFonts w:hint="eastAsia" w:ascii="仿宋_GB2312" w:hAnsi="仿宋_GB2312" w:eastAsia="仿宋_GB2312" w:cs="仿宋_GB2312"/>
          <w:snapToGrid w:val="0"/>
          <w:color w:val="auto"/>
          <w:spacing w:val="0"/>
          <w:kern w:val="0"/>
          <w:sz w:val="24"/>
          <w:szCs w:val="24"/>
          <w:lang w:val="en" w:eastAsia="zh-CN" w:bidi="ar-SA"/>
        </w:rPr>
      </w:pPr>
      <w:r>
        <w:rPr>
          <w:rFonts w:hint="default" w:ascii="仿宋_GB2312" w:hAnsi="仿宋_GB2312" w:eastAsia="仿宋_GB2312" w:cs="仿宋_GB2312"/>
          <w:snapToGrid w:val="0"/>
          <w:color w:val="auto"/>
          <w:spacing w:val="0"/>
          <w:kern w:val="0"/>
          <w:sz w:val="24"/>
          <w:szCs w:val="24"/>
          <w:lang w:val="en" w:eastAsia="zh-CN" w:bidi="ar-SA"/>
        </w:rPr>
        <w:t>备注</w:t>
      </w:r>
      <w:r>
        <w:rPr>
          <w:rFonts w:hint="eastAsia" w:ascii="仿宋_GB2312" w:hAnsi="仿宋_GB2312" w:eastAsia="仿宋_GB2312" w:cs="仿宋_GB2312"/>
          <w:snapToGrid w:val="0"/>
          <w:color w:val="auto"/>
          <w:spacing w:val="0"/>
          <w:kern w:val="0"/>
          <w:sz w:val="24"/>
          <w:szCs w:val="24"/>
          <w:lang w:val="en" w:eastAsia="zh-CN" w:bidi="ar-SA"/>
        </w:rPr>
        <w:t>:</w:t>
      </w:r>
      <w:r>
        <w:rPr>
          <w:rFonts w:hint="eastAsia" w:ascii="仿宋_GB2312" w:hAnsi="仿宋_GB2312" w:cs="仿宋_GB2312"/>
          <w:snapToGrid w:val="0"/>
          <w:color w:val="auto"/>
          <w:spacing w:val="0"/>
          <w:kern w:val="0"/>
          <w:sz w:val="24"/>
          <w:szCs w:val="24"/>
          <w:lang w:val="en-US" w:eastAsia="zh-CN" w:bidi="ar-SA"/>
        </w:rPr>
        <w:t>1.</w:t>
      </w:r>
      <w:r>
        <w:rPr>
          <w:rFonts w:hint="eastAsia" w:ascii="仿宋_GB2312" w:hAnsi="仿宋_GB2312" w:eastAsia="仿宋_GB2312" w:cs="仿宋_GB2312"/>
          <w:snapToGrid w:val="0"/>
          <w:color w:val="auto"/>
          <w:spacing w:val="0"/>
          <w:kern w:val="0"/>
          <w:sz w:val="24"/>
          <w:szCs w:val="24"/>
          <w:lang w:val="en" w:eastAsia="zh-CN" w:bidi="ar-SA"/>
        </w:rPr>
        <w:t>事业单位</w:t>
      </w:r>
      <w:r>
        <w:rPr>
          <w:rFonts w:hint="default" w:ascii="仿宋_GB2312" w:hAnsi="仿宋_GB2312" w:eastAsia="仿宋_GB2312" w:cs="仿宋_GB2312"/>
          <w:snapToGrid w:val="0"/>
          <w:color w:val="auto"/>
          <w:spacing w:val="0"/>
          <w:kern w:val="0"/>
          <w:sz w:val="24"/>
          <w:szCs w:val="24"/>
          <w:lang w:val="en" w:eastAsia="zh-CN" w:bidi="ar-SA"/>
        </w:rPr>
        <w:t>全职</w:t>
      </w:r>
      <w:r>
        <w:rPr>
          <w:rFonts w:hint="eastAsia" w:ascii="仿宋_GB2312" w:hAnsi="仿宋_GB2312" w:eastAsia="仿宋_GB2312" w:cs="仿宋_GB2312"/>
          <w:snapToGrid w:val="0"/>
          <w:color w:val="auto"/>
          <w:spacing w:val="0"/>
          <w:kern w:val="0"/>
          <w:sz w:val="24"/>
          <w:szCs w:val="24"/>
          <w:lang w:val="en" w:eastAsia="zh-CN" w:bidi="ar-SA"/>
        </w:rPr>
        <w:t>人员应为该单位正式聘用人员，并由该单位缴纳社会保险；企业</w:t>
      </w:r>
      <w:r>
        <w:rPr>
          <w:rFonts w:hint="default" w:ascii="仿宋_GB2312" w:hAnsi="仿宋_GB2312" w:eastAsia="仿宋_GB2312" w:cs="仿宋_GB2312"/>
          <w:snapToGrid w:val="0"/>
          <w:color w:val="auto"/>
          <w:spacing w:val="0"/>
          <w:kern w:val="0"/>
          <w:sz w:val="24"/>
          <w:szCs w:val="24"/>
          <w:lang w:val="en" w:eastAsia="zh-CN" w:bidi="ar-SA"/>
        </w:rPr>
        <w:t>全职</w:t>
      </w:r>
      <w:r>
        <w:rPr>
          <w:rFonts w:hint="eastAsia" w:ascii="仿宋_GB2312" w:hAnsi="仿宋_GB2312" w:eastAsia="仿宋_GB2312" w:cs="仿宋_GB2312"/>
          <w:snapToGrid w:val="0"/>
          <w:color w:val="auto"/>
          <w:spacing w:val="0"/>
          <w:kern w:val="0"/>
          <w:sz w:val="24"/>
          <w:szCs w:val="24"/>
          <w:lang w:val="en" w:eastAsia="zh-CN" w:bidi="ar-SA"/>
        </w:rPr>
        <w:t>人员应为与企业签订劳动合同的人员，并由该企业缴纳社会保险。</w:t>
      </w:r>
    </w:p>
    <w:p w14:paraId="408AEAF0">
      <w:pPr>
        <w:spacing w:line="420" w:lineRule="exact"/>
        <w:rPr>
          <w:rFonts w:hint="default"/>
          <w:color w:val="auto"/>
          <w:lang w:val="en-US" w:eastAsia="zh-CN"/>
        </w:rPr>
      </w:pPr>
      <w:r>
        <w:rPr>
          <w:rFonts w:hint="eastAsia" w:ascii="仿宋_GB2312" w:hAnsi="仿宋_GB2312" w:cs="仿宋_GB2312"/>
          <w:snapToGrid w:val="0"/>
          <w:color w:val="auto"/>
          <w:spacing w:val="0"/>
          <w:kern w:val="0"/>
          <w:sz w:val="24"/>
          <w:szCs w:val="24"/>
          <w:lang w:val="en-US" w:eastAsia="zh-CN" w:bidi="ar-SA"/>
        </w:rPr>
        <w:t xml:space="preserve">     2.除荣誉信息和</w:t>
      </w:r>
      <w:r>
        <w:rPr>
          <w:rFonts w:hint="eastAsia" w:ascii="仿宋_GB2312" w:hAnsi="仿宋_GB2312" w:eastAsia="仿宋_GB2312" w:cs="仿宋_GB2312"/>
          <w:snapToGrid w:val="0"/>
          <w:color w:val="auto"/>
          <w:spacing w:val="0"/>
          <w:kern w:val="0"/>
          <w:sz w:val="24"/>
          <w:szCs w:val="24"/>
        </w:rPr>
        <w:t>中国</w:t>
      </w:r>
      <w:r>
        <w:rPr>
          <w:rFonts w:hint="eastAsia" w:ascii="仿宋_GB2312" w:hAnsi="仿宋_GB2312" w:cs="仿宋_GB2312"/>
          <w:snapToGrid w:val="0"/>
          <w:color w:val="auto"/>
          <w:spacing w:val="0"/>
          <w:kern w:val="0"/>
          <w:sz w:val="24"/>
          <w:szCs w:val="24"/>
          <w:lang w:eastAsia="zh-CN"/>
        </w:rPr>
        <w:t>地震</w:t>
      </w:r>
      <w:r>
        <w:rPr>
          <w:rFonts w:hint="eastAsia" w:ascii="仿宋_GB2312" w:hAnsi="仿宋_GB2312" w:eastAsia="仿宋_GB2312" w:cs="仿宋_GB2312"/>
          <w:snapToGrid w:val="0"/>
          <w:color w:val="auto"/>
          <w:spacing w:val="0"/>
          <w:kern w:val="0"/>
          <w:sz w:val="24"/>
          <w:szCs w:val="24"/>
        </w:rPr>
        <w:t>局组织报告抽查检查工作</w:t>
      </w:r>
      <w:r>
        <w:rPr>
          <w:rFonts w:hint="eastAsia" w:ascii="仿宋_GB2312" w:hAnsi="仿宋_GB2312" w:cs="仿宋_GB2312"/>
          <w:snapToGrid w:val="0"/>
          <w:color w:val="auto"/>
          <w:spacing w:val="0"/>
          <w:kern w:val="0"/>
          <w:sz w:val="24"/>
          <w:szCs w:val="24"/>
          <w:lang w:eastAsia="zh-CN"/>
        </w:rPr>
        <w:t>中发现的不合格报告或质量较差报告</w:t>
      </w:r>
      <w:r>
        <w:rPr>
          <w:rFonts w:hint="eastAsia" w:ascii="仿宋_GB2312" w:hAnsi="仿宋_GB2312" w:cs="仿宋_GB2312"/>
          <w:snapToGrid w:val="0"/>
          <w:color w:val="auto"/>
          <w:spacing w:val="0"/>
          <w:kern w:val="0"/>
          <w:sz w:val="24"/>
          <w:szCs w:val="24"/>
          <w:lang w:val="en-US" w:eastAsia="zh-CN" w:bidi="ar-SA"/>
        </w:rPr>
        <w:t>外，初次信用评价、年度信用评价和动态信用评价均采纳近一年度的信息，且同一信息不重复采用。</w:t>
      </w:r>
    </w:p>
    <w:sectPr>
      <w:headerReference r:id="rId3" w:type="default"/>
      <w:footerReference r:id="rId4" w:type="default"/>
      <w:pgSz w:w="11906" w:h="16838"/>
      <w:pgMar w:top="2098" w:right="1474" w:bottom="1984" w:left="158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C34B6">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9246BE">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119246BE">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4F25A">
    <w:pPr>
      <w:tabs>
        <w:tab w:val="left" w:pos="815"/>
      </w:tabs>
      <w:snapToGrid w:val="0"/>
      <w:jc w:val="left"/>
      <w:rPr>
        <w:rFonts w:ascii="黑体" w:hAnsi="黑体" w:eastAsia="黑体"/>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DB4A2A"/>
    <w:rsid w:val="0E7DAF9F"/>
    <w:rsid w:val="171F81CB"/>
    <w:rsid w:val="19DEF544"/>
    <w:rsid w:val="1BB5A755"/>
    <w:rsid w:val="1BF76EB7"/>
    <w:rsid w:val="1BFB79A0"/>
    <w:rsid w:val="1CF7BE4E"/>
    <w:rsid w:val="1E9D184D"/>
    <w:rsid w:val="1EBBFF0F"/>
    <w:rsid w:val="1FFF12BA"/>
    <w:rsid w:val="237CF20F"/>
    <w:rsid w:val="23FF6BA6"/>
    <w:rsid w:val="26FFAF23"/>
    <w:rsid w:val="2E6FB1DE"/>
    <w:rsid w:val="2E9CF1F7"/>
    <w:rsid w:val="2FFF8ACA"/>
    <w:rsid w:val="327FF147"/>
    <w:rsid w:val="33FA5891"/>
    <w:rsid w:val="34F7A18A"/>
    <w:rsid w:val="35D70857"/>
    <w:rsid w:val="379FDF16"/>
    <w:rsid w:val="37F11652"/>
    <w:rsid w:val="397F7681"/>
    <w:rsid w:val="3B7B6725"/>
    <w:rsid w:val="3B95B918"/>
    <w:rsid w:val="3B9B4514"/>
    <w:rsid w:val="3BD72F25"/>
    <w:rsid w:val="3D2B2355"/>
    <w:rsid w:val="3D7FBA6D"/>
    <w:rsid w:val="3DDB8E1E"/>
    <w:rsid w:val="3EEEDEFC"/>
    <w:rsid w:val="3F3E61D0"/>
    <w:rsid w:val="3FCEFCA5"/>
    <w:rsid w:val="3FD7C887"/>
    <w:rsid w:val="3FDCBFED"/>
    <w:rsid w:val="3FFF92CF"/>
    <w:rsid w:val="4F9F04D1"/>
    <w:rsid w:val="4FEF87F3"/>
    <w:rsid w:val="52E67F76"/>
    <w:rsid w:val="52FFEAC7"/>
    <w:rsid w:val="55CD254B"/>
    <w:rsid w:val="55F36D84"/>
    <w:rsid w:val="575E9AA4"/>
    <w:rsid w:val="57BDD99E"/>
    <w:rsid w:val="57FFF6AC"/>
    <w:rsid w:val="58FE4F83"/>
    <w:rsid w:val="5ABD36F0"/>
    <w:rsid w:val="5BDE4D23"/>
    <w:rsid w:val="5BF5B07D"/>
    <w:rsid w:val="5BF5FB29"/>
    <w:rsid w:val="5BF7AD50"/>
    <w:rsid w:val="5DFF39F8"/>
    <w:rsid w:val="5DFF6150"/>
    <w:rsid w:val="5E992A27"/>
    <w:rsid w:val="5EFFF819"/>
    <w:rsid w:val="5F5BEFC6"/>
    <w:rsid w:val="5F7E5999"/>
    <w:rsid w:val="5FF70793"/>
    <w:rsid w:val="637D8859"/>
    <w:rsid w:val="64C7733A"/>
    <w:rsid w:val="65EFB4E0"/>
    <w:rsid w:val="66C91B4D"/>
    <w:rsid w:val="697B4C49"/>
    <w:rsid w:val="69ED8063"/>
    <w:rsid w:val="6BFF42B4"/>
    <w:rsid w:val="6ED7BD9F"/>
    <w:rsid w:val="6EF7A7B3"/>
    <w:rsid w:val="6F2FCFA1"/>
    <w:rsid w:val="6F4F756E"/>
    <w:rsid w:val="6F97FB4F"/>
    <w:rsid w:val="6FAB81A4"/>
    <w:rsid w:val="6FBE9789"/>
    <w:rsid w:val="6FEFC4F1"/>
    <w:rsid w:val="6FFA4F2B"/>
    <w:rsid w:val="6FFB1534"/>
    <w:rsid w:val="6FFD5957"/>
    <w:rsid w:val="6FFF8016"/>
    <w:rsid w:val="717BF580"/>
    <w:rsid w:val="71CE55C9"/>
    <w:rsid w:val="73EA5AA8"/>
    <w:rsid w:val="75A747E4"/>
    <w:rsid w:val="7635C54F"/>
    <w:rsid w:val="76675B34"/>
    <w:rsid w:val="775F90F1"/>
    <w:rsid w:val="7778FB12"/>
    <w:rsid w:val="777FA671"/>
    <w:rsid w:val="77B198EA"/>
    <w:rsid w:val="77BF59B5"/>
    <w:rsid w:val="77DE9908"/>
    <w:rsid w:val="77F74F9D"/>
    <w:rsid w:val="77F7BCE0"/>
    <w:rsid w:val="77FE9B26"/>
    <w:rsid w:val="797706EA"/>
    <w:rsid w:val="79D2E215"/>
    <w:rsid w:val="7A378F71"/>
    <w:rsid w:val="7A86D0BE"/>
    <w:rsid w:val="7B7B6909"/>
    <w:rsid w:val="7BDAA700"/>
    <w:rsid w:val="7BEC5817"/>
    <w:rsid w:val="7BF19A36"/>
    <w:rsid w:val="7BF83A59"/>
    <w:rsid w:val="7BFBB6E4"/>
    <w:rsid w:val="7BFD0CCE"/>
    <w:rsid w:val="7BFFF7CB"/>
    <w:rsid w:val="7CDD1E17"/>
    <w:rsid w:val="7CFF9843"/>
    <w:rsid w:val="7D7D1679"/>
    <w:rsid w:val="7D7D283F"/>
    <w:rsid w:val="7DFE7D43"/>
    <w:rsid w:val="7EAEEC0A"/>
    <w:rsid w:val="7EAF4495"/>
    <w:rsid w:val="7EBF2287"/>
    <w:rsid w:val="7EDF7451"/>
    <w:rsid w:val="7EE72271"/>
    <w:rsid w:val="7EEE55BE"/>
    <w:rsid w:val="7EFB8161"/>
    <w:rsid w:val="7F327AF0"/>
    <w:rsid w:val="7F5D1FD4"/>
    <w:rsid w:val="7F7FDF2A"/>
    <w:rsid w:val="7F8B63D8"/>
    <w:rsid w:val="7F94D052"/>
    <w:rsid w:val="7FA99B22"/>
    <w:rsid w:val="7FAF888E"/>
    <w:rsid w:val="7FBB83BB"/>
    <w:rsid w:val="7FCE440D"/>
    <w:rsid w:val="7FF777CA"/>
    <w:rsid w:val="7FFB0756"/>
    <w:rsid w:val="7FFFE4E9"/>
    <w:rsid w:val="85F92E47"/>
    <w:rsid w:val="87DBA85E"/>
    <w:rsid w:val="8E7F9138"/>
    <w:rsid w:val="8F67C070"/>
    <w:rsid w:val="8FDF3D1C"/>
    <w:rsid w:val="8FEF0DC6"/>
    <w:rsid w:val="97F756BA"/>
    <w:rsid w:val="97FFC856"/>
    <w:rsid w:val="9B755AEC"/>
    <w:rsid w:val="9D6F49DC"/>
    <w:rsid w:val="9EF90B42"/>
    <w:rsid w:val="9FB5A36A"/>
    <w:rsid w:val="9FC889AC"/>
    <w:rsid w:val="A76FBE19"/>
    <w:rsid w:val="A92BAAD0"/>
    <w:rsid w:val="A9CEAB0D"/>
    <w:rsid w:val="ABD349B7"/>
    <w:rsid w:val="ABEE7A16"/>
    <w:rsid w:val="ADEEBA4C"/>
    <w:rsid w:val="AF6B5F20"/>
    <w:rsid w:val="B5D676F0"/>
    <w:rsid w:val="B6FD7758"/>
    <w:rsid w:val="B7DE0E61"/>
    <w:rsid w:val="B7FEEA5A"/>
    <w:rsid w:val="B9CAD086"/>
    <w:rsid w:val="BA7E6451"/>
    <w:rsid w:val="BB2E70AB"/>
    <w:rsid w:val="BB3E04DF"/>
    <w:rsid w:val="BEFEAB20"/>
    <w:rsid w:val="BF674D38"/>
    <w:rsid w:val="BFBFFE43"/>
    <w:rsid w:val="BFEE4985"/>
    <w:rsid w:val="BFFB1CD0"/>
    <w:rsid w:val="C3E41D03"/>
    <w:rsid w:val="CED15C53"/>
    <w:rsid w:val="D1FC588E"/>
    <w:rsid w:val="D2DF9853"/>
    <w:rsid w:val="D6E7C78C"/>
    <w:rsid w:val="DADB7C86"/>
    <w:rsid w:val="DBDA0142"/>
    <w:rsid w:val="DD3DEBD8"/>
    <w:rsid w:val="DDE9C654"/>
    <w:rsid w:val="DE2A286D"/>
    <w:rsid w:val="DF3DC571"/>
    <w:rsid w:val="DF6509AF"/>
    <w:rsid w:val="DF765C40"/>
    <w:rsid w:val="DFBF8E4A"/>
    <w:rsid w:val="DFDFA0CA"/>
    <w:rsid w:val="DFEDD9FF"/>
    <w:rsid w:val="DFFB8901"/>
    <w:rsid w:val="DFFF1383"/>
    <w:rsid w:val="DFFF18AE"/>
    <w:rsid w:val="E5F2B360"/>
    <w:rsid w:val="E77D5D8A"/>
    <w:rsid w:val="E7FBCE26"/>
    <w:rsid w:val="E7FEDE28"/>
    <w:rsid w:val="EBCF8B33"/>
    <w:rsid w:val="EBEF619D"/>
    <w:rsid w:val="EBFC95B6"/>
    <w:rsid w:val="ED0D321F"/>
    <w:rsid w:val="EE567DD4"/>
    <w:rsid w:val="EEDFD6EF"/>
    <w:rsid w:val="EEF39CF1"/>
    <w:rsid w:val="EEF75DFE"/>
    <w:rsid w:val="EF7D3115"/>
    <w:rsid w:val="EF9EEAB2"/>
    <w:rsid w:val="EFBFBEF2"/>
    <w:rsid w:val="EFFC0B76"/>
    <w:rsid w:val="F0DF5AA1"/>
    <w:rsid w:val="F33F84DE"/>
    <w:rsid w:val="F355E4AA"/>
    <w:rsid w:val="F3FF827D"/>
    <w:rsid w:val="F4FD7199"/>
    <w:rsid w:val="F5FE451E"/>
    <w:rsid w:val="F6EF0E18"/>
    <w:rsid w:val="F7BDFC3B"/>
    <w:rsid w:val="F7CDC55F"/>
    <w:rsid w:val="F7E72685"/>
    <w:rsid w:val="F7E8E474"/>
    <w:rsid w:val="F7F8B6A3"/>
    <w:rsid w:val="F7FDB6CB"/>
    <w:rsid w:val="F7FF2AD8"/>
    <w:rsid w:val="F91C2A6D"/>
    <w:rsid w:val="F9DD645B"/>
    <w:rsid w:val="F9E9D305"/>
    <w:rsid w:val="F9EF18EA"/>
    <w:rsid w:val="FA3D74E1"/>
    <w:rsid w:val="FA7B8625"/>
    <w:rsid w:val="FAAD3155"/>
    <w:rsid w:val="FAF50078"/>
    <w:rsid w:val="FBED3686"/>
    <w:rsid w:val="FBEDF282"/>
    <w:rsid w:val="FBFF2B1B"/>
    <w:rsid w:val="FC723BE6"/>
    <w:rsid w:val="FCC7E8F9"/>
    <w:rsid w:val="FCD7DAE5"/>
    <w:rsid w:val="FD1D34E2"/>
    <w:rsid w:val="FD57FC0A"/>
    <w:rsid w:val="FDBB155F"/>
    <w:rsid w:val="FDC709BA"/>
    <w:rsid w:val="FDDB658B"/>
    <w:rsid w:val="FDE7A24C"/>
    <w:rsid w:val="FE572964"/>
    <w:rsid w:val="FE574FE9"/>
    <w:rsid w:val="FE7DFDAF"/>
    <w:rsid w:val="FEBF968A"/>
    <w:rsid w:val="FEE7519F"/>
    <w:rsid w:val="FEFF6D44"/>
    <w:rsid w:val="FF2F4C10"/>
    <w:rsid w:val="FF5B7F15"/>
    <w:rsid w:val="FF5F379D"/>
    <w:rsid w:val="FF65AB82"/>
    <w:rsid w:val="FF65D33A"/>
    <w:rsid w:val="FF77F211"/>
    <w:rsid w:val="FF7FC0A9"/>
    <w:rsid w:val="FF7FD254"/>
    <w:rsid w:val="FF9B5E6B"/>
    <w:rsid w:val="FF9DC411"/>
    <w:rsid w:val="FFBCB1D1"/>
    <w:rsid w:val="FFBFBEBE"/>
    <w:rsid w:val="FFD15C6D"/>
    <w:rsid w:val="FFDF9F34"/>
    <w:rsid w:val="FFF76B98"/>
    <w:rsid w:val="FFF79FD1"/>
    <w:rsid w:val="FFFAC008"/>
    <w:rsid w:val="FFFD1D6A"/>
    <w:rsid w:val="FFFD432E"/>
    <w:rsid w:val="FFFF6A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paragraph" w:styleId="2">
    <w:name w:val="heading 1"/>
    <w:basedOn w:val="3"/>
    <w:next w:val="1"/>
    <w:link w:val="19"/>
    <w:qFormat/>
    <w:uiPriority w:val="0"/>
    <w:pPr>
      <w:spacing w:line="580" w:lineRule="exact"/>
      <w:ind w:firstLine="0" w:firstLineChars="0"/>
      <w:jc w:val="center"/>
      <w:outlineLvl w:val="0"/>
    </w:pPr>
    <w:rPr>
      <w:rFonts w:hint="eastAsia" w:ascii="宋体" w:hAnsi="宋体" w:eastAsia="方正小标宋简体"/>
      <w:bCs/>
      <w:kern w:val="44"/>
      <w:sz w:val="44"/>
      <w:szCs w:val="48"/>
    </w:rPr>
  </w:style>
  <w:style w:type="paragraph" w:styleId="4">
    <w:name w:val="heading 2"/>
    <w:basedOn w:val="1"/>
    <w:next w:val="1"/>
    <w:link w:val="20"/>
    <w:unhideWhenUsed/>
    <w:qFormat/>
    <w:uiPriority w:val="0"/>
    <w:pPr>
      <w:keepNext/>
      <w:keepLines/>
      <w:spacing w:beforeLines="0" w:beforeAutospacing="0" w:afterLines="0" w:afterAutospacing="0" w:line="570" w:lineRule="exact"/>
      <w:outlineLvl w:val="1"/>
    </w:pPr>
    <w:rPr>
      <w:rFonts w:ascii="Arial" w:hAnsi="Arial" w:eastAsia="黑体" w:cs="Times New Roman"/>
    </w:rPr>
  </w:style>
  <w:style w:type="paragraph" w:styleId="3">
    <w:name w:val="heading 3"/>
    <w:basedOn w:val="1"/>
    <w:next w:val="1"/>
    <w:unhideWhenUsed/>
    <w:qFormat/>
    <w:uiPriority w:val="0"/>
    <w:pPr>
      <w:keepNext/>
      <w:keepLines/>
      <w:spacing w:beforeLines="0" w:beforeAutospacing="0" w:afterLines="0" w:afterAutospacing="0" w:line="580" w:lineRule="exact"/>
      <w:outlineLvl w:val="2"/>
    </w:pPr>
    <w:rPr>
      <w:rFonts w:eastAsia="楷体_GB2312"/>
    </w:rPr>
  </w:style>
  <w:style w:type="character" w:default="1" w:styleId="18">
    <w:name w:val="Default Paragraph Font"/>
    <w:semiHidden/>
    <w:qFormat/>
    <w:uiPriority w:val="0"/>
    <w:rPr>
      <w:rFonts w:ascii="Times New Roman" w:hAnsi="Times New Roman" w:eastAsia="仿宋_GB2312"/>
      <w:sz w:val="32"/>
    </w:rPr>
  </w:style>
  <w:style w:type="table" w:default="1" w:styleId="16">
    <w:name w:val="Normal Table"/>
    <w:semiHidden/>
    <w:qFormat/>
    <w:uiPriority w:val="0"/>
    <w:tblPr>
      <w:tblStyle w:val="16"/>
      <w:tblCellMar>
        <w:top w:w="0" w:type="dxa"/>
        <w:left w:w="108" w:type="dxa"/>
        <w:bottom w:w="0" w:type="dxa"/>
        <w:right w:w="108" w:type="dxa"/>
      </w:tblCellMar>
    </w:tblPr>
  </w:style>
  <w:style w:type="paragraph" w:styleId="5">
    <w:name w:val="Normal Indent"/>
    <w:basedOn w:val="1"/>
    <w:next w:val="1"/>
    <w:unhideWhenUsed/>
    <w:qFormat/>
    <w:uiPriority w:val="99"/>
    <w:pPr>
      <w:ind w:firstLine="420" w:firstLineChars="200"/>
    </w:pPr>
  </w:style>
  <w:style w:type="paragraph" w:styleId="6">
    <w:name w:val="Body Text"/>
    <w:basedOn w:val="1"/>
    <w:unhideWhenUsed/>
    <w:qFormat/>
    <w:uiPriority w:val="99"/>
    <w:pPr>
      <w:spacing w:after="120"/>
    </w:pPr>
  </w:style>
  <w:style w:type="paragraph" w:styleId="7">
    <w:name w:val="Body Text Indent"/>
    <w:basedOn w:val="1"/>
    <w:unhideWhenUsed/>
    <w:qFormat/>
    <w:uiPriority w:val="99"/>
    <w:pPr>
      <w:spacing w:after="120"/>
      <w:ind w:left="420" w:leftChars="200"/>
    </w:pPr>
  </w:style>
  <w:style w:type="paragraph" w:styleId="8">
    <w:name w:val="Plain Text"/>
    <w:basedOn w:val="1"/>
    <w:qFormat/>
    <w:uiPriority w:val="0"/>
    <w:rPr>
      <w:rFonts w:hint="eastAsia" w:ascii="宋体" w:hAnsi="Courier New" w:eastAsia="宋体" w:cs="Times New Roman"/>
      <w:szCs w:val="20"/>
    </w:rPr>
  </w:style>
  <w:style w:type="paragraph" w:styleId="9">
    <w:name w:val="Date"/>
    <w:basedOn w:val="1"/>
    <w:next w:val="1"/>
    <w:qFormat/>
    <w:uiPriority w:val="0"/>
    <w:pPr>
      <w:ind w:left="100" w:leftChars="2500"/>
    </w:pPr>
  </w:style>
  <w:style w:type="paragraph" w:styleId="10">
    <w:name w:val="Body Text Indent 2"/>
    <w:basedOn w:val="1"/>
    <w:next w:val="1"/>
    <w:qFormat/>
    <w:uiPriority w:val="0"/>
    <w:pPr>
      <w:ind w:firstLine="560"/>
    </w:pPr>
    <w:rPr>
      <w:rFonts w:ascii="仿宋_GB2312" w:hAnsi="仿宋_GB2312" w:eastAsia="仿宋_GB2312" w:cs="Times New Roman"/>
      <w:sz w:val="28"/>
      <w:szCs w:val="32"/>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unhideWhenUsed/>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paragraph" w:styleId="14">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5">
    <w:name w:val="Body Text First Indent 2"/>
    <w:basedOn w:val="7"/>
    <w:next w:val="10"/>
    <w:qFormat/>
    <w:uiPriority w:val="0"/>
    <w:pPr>
      <w:spacing w:after="0" w:line="600" w:lineRule="exact"/>
      <w:ind w:left="0" w:leftChars="0" w:firstLine="420" w:firstLineChars="200"/>
    </w:pPr>
    <w:rPr>
      <w:rFonts w:ascii="仿宋_GB2312" w:hAnsi="Times New Roman" w:eastAsia="仿宋_GB2312"/>
      <w:sz w:val="32"/>
      <w:szCs w:val="24"/>
    </w:rPr>
  </w:style>
  <w:style w:type="table" w:styleId="17">
    <w:name w:val="Table Grid"/>
    <w:basedOn w:val="16"/>
    <w:unhideWhenUsed/>
    <w:qFormat/>
    <w:uiPriority w:val="99"/>
    <w:pPr>
      <w:widowControl w:val="0"/>
      <w:jc w:val="both"/>
    </w:pPr>
    <w:tblPr>
      <w:tblStyle w:val="1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标题 1 Char"/>
    <w:link w:val="2"/>
    <w:qFormat/>
    <w:uiPriority w:val="0"/>
    <w:rPr>
      <w:rFonts w:hint="eastAsia" w:ascii="宋体" w:hAnsi="宋体" w:eastAsia="方正小标宋简体"/>
      <w:bCs/>
      <w:kern w:val="44"/>
      <w:sz w:val="44"/>
      <w:szCs w:val="48"/>
    </w:rPr>
  </w:style>
  <w:style w:type="character" w:customStyle="1" w:styleId="20">
    <w:name w:val="标题 2 Char"/>
    <w:link w:val="4"/>
    <w:qFormat/>
    <w:uiPriority w:val="0"/>
    <w:rPr>
      <w:rFonts w:ascii="Arial" w:hAnsi="Arial" w:eastAsia="黑体" w:cs="Times New Roman"/>
    </w:rPr>
  </w:style>
  <w:style w:type="paragraph" w:customStyle="1" w:styleId="21">
    <w:name w:val="纯文本1"/>
    <w:basedOn w:val="1"/>
    <w:qFormat/>
    <w:uiPriority w:val="0"/>
    <w:rPr>
      <w:rFonts w:ascii="宋体" w:hAnsi="Courier New" w:eastAsia="仿宋" w:cs="Courier New"/>
      <w:sz w:val="34"/>
      <w:szCs w:val="21"/>
    </w:rPr>
  </w:style>
  <w:style w:type="paragraph" w:customStyle="1" w:styleId="22">
    <w:name w:val="正文-公1"/>
    <w:basedOn w:val="1"/>
    <w:next w:val="1"/>
    <w:qFormat/>
    <w:uiPriority w:val="0"/>
    <w:pPr>
      <w:ind w:firstLine="200" w:firstLineChars="200"/>
      <w:jc w:val="left"/>
    </w:pPr>
    <w:rPr>
      <w:rFonts w:eastAsia="仿宋_GB2312"/>
    </w:rPr>
  </w:style>
  <w:style w:type="character" w:customStyle="1" w:styleId="23">
    <w:name w:val="font21"/>
    <w:basedOn w:val="18"/>
    <w:qFormat/>
    <w:uiPriority w:val="0"/>
    <w:rPr>
      <w:rFonts w:hint="eastAsia" w:ascii="宋体" w:hAnsi="宋体" w:eastAsia="宋体" w:cs="宋体"/>
      <w:color w:val="000000"/>
      <w:sz w:val="22"/>
      <w:szCs w:val="22"/>
      <w:u w:val="none"/>
    </w:rPr>
  </w:style>
  <w:style w:type="character" w:customStyle="1" w:styleId="24">
    <w:name w:val="font11"/>
    <w:basedOn w:val="18"/>
    <w:qFormat/>
    <w:uiPriority w:val="0"/>
    <w:rPr>
      <w:rFonts w:hint="eastAsia" w:ascii="宋体" w:hAnsi="宋体" w:eastAsia="宋体" w:cs="宋体"/>
      <w:color w:val="FF0000"/>
      <w:sz w:val="22"/>
      <w:szCs w:val="22"/>
      <w:u w:val="none"/>
    </w:rPr>
  </w:style>
  <w:style w:type="character" w:customStyle="1" w:styleId="25">
    <w:name w:val="font01"/>
    <w:basedOn w:val="18"/>
    <w:qFormat/>
    <w:uiPriority w:val="0"/>
    <w:rPr>
      <w:rFonts w:hint="eastAsia" w:ascii="宋体" w:hAnsi="宋体" w:eastAsia="宋体" w:cs="宋体"/>
      <w:color w:val="000000"/>
      <w:sz w:val="22"/>
      <w:szCs w:val="22"/>
      <w:u w:val="none"/>
    </w:rPr>
  </w:style>
  <w:style w:type="character" w:customStyle="1" w:styleId="26">
    <w:name w:val="font31"/>
    <w:basedOn w:val="18"/>
    <w:qFormat/>
    <w:uiPriority w:val="0"/>
    <w:rPr>
      <w:rFonts w:hint="eastAsia" w:ascii="仿宋_GB2312" w:eastAsia="仿宋_GB2312" w:cs="仿宋_GB2312"/>
      <w:color w:val="000000"/>
      <w:sz w:val="32"/>
      <w:szCs w:val="32"/>
      <w:u w:val="none"/>
    </w:rPr>
  </w:style>
  <w:style w:type="paragraph" w:customStyle="1" w:styleId="27">
    <w:name w:val="vsbcontent_end"/>
    <w:qFormat/>
    <w:uiPriority w:val="0"/>
    <w:pPr>
      <w:widowControl/>
      <w:spacing w:before="100" w:beforeAutospacing="1" w:after="100" w:afterAutospacing="1"/>
      <w:jc w:val="left"/>
    </w:pPr>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1893</Words>
  <Characters>1968</Characters>
  <Lines>0</Lines>
  <Paragraphs>0</Paragraphs>
  <TotalTime>0</TotalTime>
  <ScaleCrop>false</ScaleCrop>
  <LinksUpToDate>false</LinksUpToDate>
  <CharactersWithSpaces>1973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2022-11-14T16:04:00Z</dcterms:created>
  <dc:creator>cea</dc:creator>
  <cp:lastModifiedBy>Sunny</cp:lastModifiedBy>
  <cp:lastPrinted>2025-03-03T01:48:17Z</cp:lastPrinted>
  <dcterms:modified xsi:type="dcterms:W3CDTF">2025-03-28T01:46:32Z</dcterms:modified>
  <dc:title>关于提请审议《国家防震减灾公共服务平台管理办法（审议稿）》的请示</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53C34526C9FA44388EA30836C613E124_13</vt:lpwstr>
  </property>
  <property fmtid="{D5CDD505-2E9C-101B-9397-08002B2CF9AE}" pid="4" name="抄送机关">
    <vt:lpwstr>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_x0007_</vt:lpwstr>
  </property>
</Properties>
</file>